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B6EE" w14:textId="172B2022" w:rsidR="005369DD" w:rsidRPr="0095603D" w:rsidRDefault="0095603D" w:rsidP="0095603D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r w:rsidR="005369DD" w:rsidRPr="00956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Сташ Дарина Рустамовна</w:t>
      </w:r>
    </w:p>
    <w:p w14:paraId="221D3AD4" w14:textId="77777777" w:rsidR="0095603D" w:rsidRDefault="005369DD" w:rsidP="0095603D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603D">
        <w:rPr>
          <w:rFonts w:ascii="Times New Roman" w:hAnsi="Times New Roman" w:cs="Times New Roman"/>
          <w:i/>
          <w:iCs/>
          <w:sz w:val="24"/>
          <w:szCs w:val="24"/>
        </w:rPr>
        <w:t xml:space="preserve">Научный руководитель: </w:t>
      </w:r>
      <w:r w:rsidRPr="00956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Меретукова Маргарита Асланбиевна,</w:t>
      </w:r>
      <w:r w:rsidRPr="0095603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E650684" w14:textId="04B80179" w:rsidR="0095603D" w:rsidRDefault="005369DD" w:rsidP="0095603D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603D">
        <w:rPr>
          <w:rFonts w:ascii="Times New Roman" w:hAnsi="Times New Roman" w:cs="Times New Roman"/>
          <w:i/>
          <w:iCs/>
          <w:sz w:val="24"/>
          <w:szCs w:val="24"/>
        </w:rPr>
        <w:t xml:space="preserve">старший преподаватель, </w:t>
      </w:r>
    </w:p>
    <w:p w14:paraId="5DA7B21C" w14:textId="177BAB3D" w:rsidR="005369DD" w:rsidRPr="0095603D" w:rsidRDefault="005369DD" w:rsidP="0095603D">
      <w:pPr>
        <w:adjustRightInd w:val="0"/>
        <w:snapToGri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5603D">
        <w:rPr>
          <w:rFonts w:ascii="Times New Roman" w:hAnsi="Times New Roman" w:cs="Times New Roman"/>
          <w:i/>
          <w:iCs/>
          <w:sz w:val="24"/>
          <w:szCs w:val="24"/>
        </w:rPr>
        <w:t>ФГБОУ ВО «</w:t>
      </w:r>
      <w:r w:rsidR="0095603D" w:rsidRPr="0095603D">
        <w:rPr>
          <w:rFonts w:ascii="Times New Roman" w:hAnsi="Times New Roman" w:cs="Times New Roman"/>
          <w:i/>
          <w:iCs/>
          <w:sz w:val="24"/>
          <w:szCs w:val="24"/>
        </w:rPr>
        <w:t>Адыгейский</w:t>
      </w:r>
      <w:r w:rsidRPr="0095603D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государственный университет», г. Майкоп</w:t>
      </w:r>
    </w:p>
    <w:p w14:paraId="6A1F4C75" w14:textId="77777777" w:rsidR="0095603D" w:rsidRPr="0095603D" w:rsidRDefault="0095603D" w:rsidP="0095603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8C3F8" w14:textId="7E3A8FA5" w:rsidR="0095603D" w:rsidRPr="0095603D" w:rsidRDefault="0095603D" w:rsidP="0095603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03D">
        <w:rPr>
          <w:rFonts w:ascii="Times New Roman" w:hAnsi="Times New Roman" w:cs="Times New Roman"/>
          <w:b/>
          <w:bCs/>
          <w:sz w:val="24"/>
          <w:szCs w:val="24"/>
        </w:rPr>
        <w:t>ПРАВО НА ЛЬГОТНОЕ ЛЕКАРСТВЕННОЕ ОБЕСПЕЧЕНИЕ ОТДЕЛЬНЫХ КАТЕГОРИЙ ГРАЖДАН: ПРОБЛЕМЫ РЕАЛИЗАЦИИ И СУДЕБНОЙ ЗАЩИТЫ</w:t>
      </w:r>
    </w:p>
    <w:p w14:paraId="3061D0BE" w14:textId="77777777" w:rsidR="0095603D" w:rsidRPr="0095603D" w:rsidRDefault="0095603D" w:rsidP="0095603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36941" w14:textId="7EB60398" w:rsidR="005369DD" w:rsidRDefault="005369DD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охрану здоровья и медицинскую помощь гарантируется Конституцией РФ (ст. 41)</w:t>
      </w:r>
      <w:r w:rsidR="004A12F3" w:rsidRPr="004A12F3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369DD">
        <w:rPr>
          <w:rFonts w:ascii="Times New Roman" w:hAnsi="Times New Roman" w:cs="Times New Roman"/>
          <w:sz w:val="24"/>
          <w:szCs w:val="24"/>
        </w:rPr>
        <w:t xml:space="preserve">Право граждан на охрану здоровья </w:t>
      </w:r>
      <w:r>
        <w:rPr>
          <w:rFonts w:ascii="Times New Roman" w:hAnsi="Times New Roman" w:cs="Times New Roman"/>
          <w:sz w:val="24"/>
          <w:szCs w:val="24"/>
        </w:rPr>
        <w:t>обеспечивается</w:t>
      </w:r>
      <w:r w:rsidRPr="005369DD">
        <w:rPr>
          <w:rFonts w:ascii="Times New Roman" w:hAnsi="Times New Roman" w:cs="Times New Roman"/>
          <w:sz w:val="24"/>
          <w:szCs w:val="24"/>
        </w:rPr>
        <w:t xml:space="preserve"> охраной окружающей природной среды, созданием благоприятных условий для труда, жизни, отдыха, образования и профессиональной подготовки граждан, производством и реализацией качественных пищевых продуктов, оказанием помощи медицинское и социальное обеспечение доступно населению.</w:t>
      </w:r>
      <w:r w:rsidRPr="005369DD">
        <w:rPr>
          <w:rFonts w:ascii="Arial" w:hAnsi="Arial" w:cs="Arial"/>
          <w:color w:val="000000"/>
          <w:sz w:val="21"/>
          <w:szCs w:val="21"/>
        </w:rPr>
        <w:t xml:space="preserve"> </w:t>
      </w:r>
      <w:r w:rsidRPr="005369DD">
        <w:rPr>
          <w:rFonts w:ascii="Times New Roman" w:hAnsi="Times New Roman" w:cs="Times New Roman"/>
          <w:sz w:val="24"/>
          <w:szCs w:val="24"/>
        </w:rPr>
        <w:t>Он</w:t>
      </w:r>
      <w:r w:rsidR="00FC3C45">
        <w:rPr>
          <w:rFonts w:ascii="Times New Roman" w:hAnsi="Times New Roman" w:cs="Times New Roman"/>
          <w:sz w:val="24"/>
          <w:szCs w:val="24"/>
        </w:rPr>
        <w:t xml:space="preserve">о </w:t>
      </w:r>
      <w:r w:rsidRPr="005369DD">
        <w:rPr>
          <w:rFonts w:ascii="Times New Roman" w:hAnsi="Times New Roman" w:cs="Times New Roman"/>
          <w:sz w:val="24"/>
          <w:szCs w:val="24"/>
        </w:rPr>
        <w:t>предоставляется россиянам бесплатно в государственных и муниципальных медицинских учреждениях за счет средств обязательного медицинского страхования и выделенных из бюджета средств</w:t>
      </w:r>
    </w:p>
    <w:p w14:paraId="65D485C3" w14:textId="32084AF9" w:rsidR="0028792B" w:rsidRPr="0028792B" w:rsidRDefault="00FC3C45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3C45">
        <w:rPr>
          <w:rFonts w:ascii="Times New Roman" w:hAnsi="Times New Roman" w:cs="Times New Roman"/>
          <w:sz w:val="24"/>
          <w:szCs w:val="24"/>
        </w:rPr>
        <w:t>Право на льготное лекарственное обеспечение закреплено Постановлением Правительства РФ № 890 от 30 июля 1994 г., которое определяет перечни препаратов для бесплатного отпуска и со скидкой отдельным категориям граждан</w:t>
      </w:r>
      <w:r w:rsidR="004A12F3" w:rsidRPr="004A12F3">
        <w:rPr>
          <w:rFonts w:ascii="Times New Roman" w:hAnsi="Times New Roman" w:cs="Times New Roman"/>
          <w:sz w:val="24"/>
          <w:szCs w:val="24"/>
        </w:rPr>
        <w:t xml:space="preserve"> [3]</w:t>
      </w:r>
      <w:r>
        <w:rPr>
          <w:rFonts w:ascii="Times New Roman" w:hAnsi="Times New Roman" w:cs="Times New Roman"/>
          <w:sz w:val="24"/>
          <w:szCs w:val="24"/>
        </w:rPr>
        <w:t>. В н</w:t>
      </w:r>
      <w:r w:rsidR="0068123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C3C45">
        <w:rPr>
          <w:rFonts w:ascii="Times New Roman" w:hAnsi="Times New Roman" w:cs="Times New Roman"/>
          <w:sz w:val="24"/>
          <w:szCs w:val="24"/>
        </w:rPr>
        <w:t xml:space="preserve"> охватыва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FC3C45">
        <w:rPr>
          <w:rFonts w:ascii="Times New Roman" w:hAnsi="Times New Roman" w:cs="Times New Roman"/>
          <w:sz w:val="24"/>
          <w:szCs w:val="24"/>
        </w:rPr>
        <w:t>т инвалидов I и II групп, детей-инвалидов, участников Великой Отечественной войны, лиц с онкологическими заболеваниями, гемофилией и муковисцидозом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3C45">
        <w:t xml:space="preserve"> </w:t>
      </w:r>
      <w:r w:rsidRPr="00FC3C45">
        <w:rPr>
          <w:rFonts w:ascii="Times New Roman" w:hAnsi="Times New Roman" w:cs="Times New Roman"/>
          <w:sz w:val="24"/>
          <w:szCs w:val="24"/>
        </w:rPr>
        <w:t>Введение Федерального закона № 323-ФЗ от 21 ноября 2011 г. расширило категории до 13 групп, включая беременных и детей до трех лет</w:t>
      </w:r>
      <w:r w:rsidR="004A12F3" w:rsidRPr="004A12F3">
        <w:rPr>
          <w:rFonts w:ascii="Times New Roman" w:hAnsi="Times New Roman" w:cs="Times New Roman"/>
          <w:sz w:val="24"/>
          <w:szCs w:val="24"/>
        </w:rPr>
        <w:t xml:space="preserve"> [2]</w:t>
      </w:r>
      <w:r w:rsidRPr="00FC3C45">
        <w:rPr>
          <w:rFonts w:ascii="Times New Roman" w:hAnsi="Times New Roman" w:cs="Times New Roman"/>
          <w:sz w:val="24"/>
          <w:szCs w:val="24"/>
        </w:rPr>
        <w:t>.</w:t>
      </w:r>
      <w:r w:rsidR="0028792B" w:rsidRPr="0028792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5AC6D24" w14:textId="7E4138E5" w:rsidR="005369DD" w:rsidRDefault="0028792B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92B">
        <w:rPr>
          <w:rFonts w:ascii="Times New Roman" w:hAnsi="Times New Roman" w:cs="Times New Roman"/>
          <w:sz w:val="24"/>
          <w:szCs w:val="24"/>
        </w:rPr>
        <w:t xml:space="preserve">В 2024 году охват бесплатными лекарствами составил 34,4 процента льготников по данным Союза пациентов. Данное положение отражает системные перебои в поставках, где отсрочка рецептов достигала 0,9 процента федеральных выписок. Обобщение показывает региональное неравенство расходов на пациента в </w:t>
      </w:r>
      <w:proofErr w:type="gramStart"/>
      <w:r w:rsidRPr="0028792B">
        <w:rPr>
          <w:rFonts w:ascii="Times New Roman" w:hAnsi="Times New Roman" w:cs="Times New Roman"/>
          <w:sz w:val="24"/>
          <w:szCs w:val="24"/>
        </w:rPr>
        <w:t>5</w:t>
      </w:r>
      <w:r w:rsidR="0095603D">
        <w:rPr>
          <w:rFonts w:ascii="Times New Roman" w:hAnsi="Times New Roman" w:cs="Times New Roman"/>
          <w:sz w:val="24"/>
          <w:szCs w:val="24"/>
        </w:rPr>
        <w:t>-</w:t>
      </w:r>
      <w:r w:rsidRPr="0028792B">
        <w:rPr>
          <w:rFonts w:ascii="Times New Roman" w:hAnsi="Times New Roman" w:cs="Times New Roman"/>
          <w:sz w:val="24"/>
          <w:szCs w:val="24"/>
        </w:rPr>
        <w:t>21</w:t>
      </w:r>
      <w:proofErr w:type="gramEnd"/>
      <w:r w:rsidRPr="0028792B">
        <w:rPr>
          <w:rFonts w:ascii="Times New Roman" w:hAnsi="Times New Roman" w:cs="Times New Roman"/>
          <w:sz w:val="24"/>
          <w:szCs w:val="24"/>
        </w:rPr>
        <w:t xml:space="preserve"> раз по нозологиям вроде злокачественных новообразований. </w:t>
      </w:r>
      <w:r w:rsidR="0033420E">
        <w:rPr>
          <w:rFonts w:ascii="Times New Roman" w:hAnsi="Times New Roman" w:cs="Times New Roman"/>
          <w:sz w:val="24"/>
          <w:szCs w:val="24"/>
        </w:rPr>
        <w:t xml:space="preserve">Оно </w:t>
      </w:r>
      <w:r w:rsidRPr="0028792B">
        <w:rPr>
          <w:rFonts w:ascii="Times New Roman" w:hAnsi="Times New Roman" w:cs="Times New Roman"/>
          <w:sz w:val="24"/>
          <w:szCs w:val="24"/>
        </w:rPr>
        <w:t>не распространяется на федеральные реестры, где цифровизация снизила задержки до 0,05 процента в 2025 году.</w:t>
      </w:r>
    </w:p>
    <w:p w14:paraId="5C61324B" w14:textId="11805233" w:rsidR="0028792B" w:rsidRDefault="007D58FC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58FC">
        <w:rPr>
          <w:rFonts w:ascii="Times New Roman" w:hAnsi="Times New Roman" w:cs="Times New Roman"/>
          <w:sz w:val="24"/>
          <w:szCs w:val="24"/>
        </w:rPr>
        <w:t xml:space="preserve">Изменение подходов к реализации произошло после 2021 года из-за роста числа льготников на </w:t>
      </w:r>
      <w:proofErr w:type="gramStart"/>
      <w:r w:rsidRPr="007D58FC">
        <w:rPr>
          <w:rFonts w:ascii="Times New Roman" w:hAnsi="Times New Roman" w:cs="Times New Roman"/>
          <w:sz w:val="24"/>
          <w:szCs w:val="24"/>
        </w:rPr>
        <w:t>10</w:t>
      </w:r>
      <w:r w:rsidR="0095603D">
        <w:rPr>
          <w:rFonts w:ascii="Times New Roman" w:hAnsi="Times New Roman" w:cs="Times New Roman"/>
          <w:sz w:val="24"/>
          <w:szCs w:val="24"/>
        </w:rPr>
        <w:t>-</w:t>
      </w:r>
      <w:r w:rsidRPr="007D58FC">
        <w:rPr>
          <w:rFonts w:ascii="Times New Roman" w:hAnsi="Times New Roman" w:cs="Times New Roman"/>
          <w:sz w:val="24"/>
          <w:szCs w:val="24"/>
        </w:rPr>
        <w:t>30</w:t>
      </w:r>
      <w:proofErr w:type="gramEnd"/>
      <w:r w:rsidRPr="007D58FC">
        <w:rPr>
          <w:rFonts w:ascii="Times New Roman" w:hAnsi="Times New Roman" w:cs="Times New Roman"/>
          <w:sz w:val="24"/>
          <w:szCs w:val="24"/>
        </w:rPr>
        <w:t xml:space="preserve"> процентов в регионах вроде Карелии и Ленинградской области. Фактором сдвига послужили демографические сдвиги и расширение перечней по программе 14 высокозатратных нозологий. Судебная защита права на лекарства</w:t>
      </w:r>
      <w:r w:rsidR="00863A27">
        <w:rPr>
          <w:rFonts w:ascii="Times New Roman" w:hAnsi="Times New Roman" w:cs="Times New Roman"/>
          <w:sz w:val="24"/>
          <w:szCs w:val="24"/>
        </w:rPr>
        <w:t xml:space="preserve"> </w:t>
      </w:r>
      <w:r w:rsidRPr="007D58FC">
        <w:rPr>
          <w:rFonts w:ascii="Times New Roman" w:hAnsi="Times New Roman" w:cs="Times New Roman"/>
          <w:sz w:val="24"/>
          <w:szCs w:val="24"/>
        </w:rPr>
        <w:t>опирается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FC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8FC">
        <w:rPr>
          <w:rFonts w:ascii="Times New Roman" w:hAnsi="Times New Roman" w:cs="Times New Roman"/>
          <w:sz w:val="24"/>
          <w:szCs w:val="24"/>
        </w:rPr>
        <w:t>Определение Судебной коллегии по гражданским делам Верховного Суда РФ №53-КГ17-32 от 19 февраля 2018 года, где аптека обязана возместить расходы пациента при отсутствии препарата</w:t>
      </w:r>
      <w:r w:rsidR="004A12F3" w:rsidRPr="004A12F3">
        <w:rPr>
          <w:rFonts w:ascii="Times New Roman" w:hAnsi="Times New Roman" w:cs="Times New Roman"/>
          <w:sz w:val="24"/>
          <w:szCs w:val="24"/>
        </w:rPr>
        <w:t xml:space="preserve"> [4]</w:t>
      </w:r>
      <w:r w:rsidRPr="007D58FC">
        <w:rPr>
          <w:rFonts w:ascii="Times New Roman" w:hAnsi="Times New Roman" w:cs="Times New Roman"/>
          <w:sz w:val="24"/>
          <w:szCs w:val="24"/>
        </w:rPr>
        <w:t>. Решение фиксирует нарушение порядка отсрочки в 10 дней.</w:t>
      </w:r>
      <w:r w:rsidR="003F4A0E" w:rsidRPr="003F4A0E">
        <w:t xml:space="preserve"> </w:t>
      </w:r>
      <w:r w:rsidR="003F4A0E" w:rsidRPr="003F4A0E">
        <w:rPr>
          <w:rFonts w:ascii="Times New Roman" w:hAnsi="Times New Roman" w:cs="Times New Roman"/>
          <w:sz w:val="24"/>
          <w:szCs w:val="24"/>
        </w:rPr>
        <w:t>Суды все чаще отдают приоритет пациентам, признавая их право на доступ к лекарствам в качестве основного права</w:t>
      </w:r>
      <w:r w:rsidR="003F4A0E">
        <w:rPr>
          <w:rFonts w:ascii="Times New Roman" w:hAnsi="Times New Roman" w:cs="Times New Roman"/>
          <w:sz w:val="24"/>
          <w:szCs w:val="24"/>
        </w:rPr>
        <w:t>.</w:t>
      </w:r>
    </w:p>
    <w:p w14:paraId="65F5C9FD" w14:textId="0D335DA6" w:rsidR="003F4A0E" w:rsidRDefault="00681232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на льготное лекарственное обеспечение в Российской Федерации обнаруживает устойчивое противоречие между нормативным расширением гарантий и фактической доступностью препаратов для защищаемых категорий граждан. Законодательная база последовательно охватывает вс</w:t>
      </w:r>
      <w:r w:rsidR="0095603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более широкий круг получателей от 13 категорий федеральных льготников до беременных женщин и детей до тр</w:t>
      </w:r>
      <w:r w:rsidR="0095603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х лет, вместе с тем реальный охват бесплатным обеспечением не превышает 34,4</w:t>
      </w:r>
      <w:r w:rsidRPr="006812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процента от числа имеющих право, что свидетельствует о системном несоответствии. В рамках другого подхода к оценке причин данно</w:t>
      </w:r>
      <w:r w:rsidR="00D575F0">
        <w:rPr>
          <w:rFonts w:ascii="Times New Roman" w:hAnsi="Times New Roman" w:cs="Times New Roman"/>
          <w:sz w:val="24"/>
          <w:szCs w:val="24"/>
        </w:rPr>
        <w:t xml:space="preserve">й ситуации предоставляется, что проблема заключена в неэффективности управленческих процессов. Переход на электронные реестры и цифровые рецепты сократил до 0,05 процента в 2025 году.  Цифровизация не устраняет регионального неравенства, при котором расходы на одного пациента </w:t>
      </w:r>
      <w:r w:rsidR="0033420E">
        <w:rPr>
          <w:rFonts w:ascii="Times New Roman" w:hAnsi="Times New Roman" w:cs="Times New Roman"/>
          <w:sz w:val="24"/>
          <w:szCs w:val="24"/>
        </w:rPr>
        <w:t>по онкологическим заболеваниям</w:t>
      </w:r>
      <w:r w:rsidR="00D575F0">
        <w:rPr>
          <w:rFonts w:ascii="Times New Roman" w:hAnsi="Times New Roman" w:cs="Times New Roman"/>
          <w:sz w:val="24"/>
          <w:szCs w:val="24"/>
        </w:rPr>
        <w:t xml:space="preserve"> различаются во много раз между субъектами. Отсутствие единой методики расчета </w:t>
      </w:r>
      <w:r w:rsidR="0033420E">
        <w:rPr>
          <w:rFonts w:ascii="Times New Roman" w:hAnsi="Times New Roman" w:cs="Times New Roman"/>
          <w:sz w:val="24"/>
          <w:szCs w:val="24"/>
        </w:rPr>
        <w:t>потребности</w:t>
      </w:r>
      <w:r w:rsidR="00D575F0">
        <w:rPr>
          <w:rFonts w:ascii="Times New Roman" w:hAnsi="Times New Roman" w:cs="Times New Roman"/>
          <w:sz w:val="24"/>
          <w:szCs w:val="24"/>
        </w:rPr>
        <w:t xml:space="preserve"> препаратах </w:t>
      </w:r>
      <w:r w:rsidR="0033420E">
        <w:rPr>
          <w:rFonts w:ascii="Times New Roman" w:hAnsi="Times New Roman" w:cs="Times New Roman"/>
          <w:sz w:val="24"/>
          <w:szCs w:val="24"/>
        </w:rPr>
        <w:t>воспроизводит</w:t>
      </w:r>
      <w:r w:rsidR="00D575F0">
        <w:rPr>
          <w:rFonts w:ascii="Times New Roman" w:hAnsi="Times New Roman" w:cs="Times New Roman"/>
          <w:sz w:val="24"/>
          <w:szCs w:val="24"/>
        </w:rPr>
        <w:t xml:space="preserve"> несоразмерность вне зависимости</w:t>
      </w:r>
      <w:r w:rsidR="0033420E">
        <w:rPr>
          <w:rFonts w:ascii="Times New Roman" w:hAnsi="Times New Roman" w:cs="Times New Roman"/>
          <w:sz w:val="24"/>
          <w:szCs w:val="24"/>
        </w:rPr>
        <w:t xml:space="preserve"> от степени автоматизации ведения учета. </w:t>
      </w:r>
      <w:r w:rsidR="003F4A0E">
        <w:rPr>
          <w:rFonts w:ascii="Times New Roman" w:hAnsi="Times New Roman" w:cs="Times New Roman"/>
          <w:sz w:val="24"/>
          <w:szCs w:val="24"/>
        </w:rPr>
        <w:t xml:space="preserve">Необходима правильная реализация </w:t>
      </w:r>
      <w:r>
        <w:rPr>
          <w:rFonts w:ascii="Times New Roman" w:hAnsi="Times New Roman" w:cs="Times New Roman"/>
          <w:sz w:val="24"/>
          <w:szCs w:val="24"/>
        </w:rPr>
        <w:t>права на льготное лекарственное обеспечение, которая будет обеспечена каждому гражданину, нуждающегося в нем.</w:t>
      </w:r>
    </w:p>
    <w:p w14:paraId="64908279" w14:textId="2D9129C3" w:rsidR="0033420E" w:rsidRDefault="0095603D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Подводя итог, можно сделать вывод, что п</w:t>
      </w:r>
      <w:r w:rsidR="0033420E" w:rsidRPr="0033420E">
        <w:rPr>
          <w:rFonts w:ascii="Times New Roman" w:hAnsi="Times New Roman" w:cs="Times New Roman"/>
          <w:sz w:val="24"/>
          <w:szCs w:val="24"/>
        </w:rPr>
        <w:t xml:space="preserve">раво на льготное лекарственное обеспечение является важнейшим элементом социальной защиты граждан. Проблемы его реализации, обусловленные комплексом нормативных, организационных и финансовых факторов, требуют комплексного подхода. </w:t>
      </w:r>
      <w:r w:rsidR="0033420E">
        <w:rPr>
          <w:rFonts w:ascii="Times New Roman" w:hAnsi="Times New Roman" w:cs="Times New Roman"/>
          <w:sz w:val="24"/>
          <w:szCs w:val="24"/>
        </w:rPr>
        <w:t>С</w:t>
      </w:r>
      <w:r w:rsidR="0033420E" w:rsidRPr="0033420E">
        <w:rPr>
          <w:rFonts w:ascii="Times New Roman" w:hAnsi="Times New Roman" w:cs="Times New Roman"/>
          <w:sz w:val="24"/>
          <w:szCs w:val="24"/>
        </w:rPr>
        <w:t>удебная защита выступает как действенный механизм восстановления нарушенных прав, стимулирующий совершенствование работы системы здравоохранения и органов государственной власти. Эффективность механизма напрямую зависит от активной позиции граждан, их осведомленности о своих правах и готовности отстаивать их в законном порядке.</w:t>
      </w:r>
    </w:p>
    <w:p w14:paraId="7F647AC2" w14:textId="574EB2F9" w:rsidR="001C1F0E" w:rsidRPr="0095603D" w:rsidRDefault="001C1F0E" w:rsidP="0095603D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603D"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2C23F884" w14:textId="19A7D979" w:rsidR="001C1F0E" w:rsidRDefault="001C1F0E" w:rsidP="0095603D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F0E">
        <w:rPr>
          <w:rFonts w:ascii="Times New Roman" w:hAnsi="Times New Roman" w:cs="Times New Roman"/>
          <w:sz w:val="24"/>
          <w:szCs w:val="24"/>
        </w:rPr>
        <w:t xml:space="preserve"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</w:t>
      </w:r>
      <w:r w:rsidR="0095603D">
        <w:rPr>
          <w:rFonts w:ascii="Times New Roman" w:hAnsi="Times New Roman" w:cs="Times New Roman"/>
          <w:sz w:val="24"/>
          <w:szCs w:val="24"/>
        </w:rPr>
        <w:t>-</w:t>
      </w:r>
      <w:r w:rsidRPr="001C1F0E">
        <w:rPr>
          <w:rFonts w:ascii="Times New Roman" w:hAnsi="Times New Roman" w:cs="Times New Roman"/>
          <w:sz w:val="24"/>
          <w:szCs w:val="24"/>
        </w:rPr>
        <w:t xml:space="preserve"> 2020. </w:t>
      </w:r>
      <w:r w:rsidR="0095603D">
        <w:rPr>
          <w:rFonts w:ascii="Times New Roman" w:hAnsi="Times New Roman" w:cs="Times New Roman"/>
          <w:sz w:val="24"/>
          <w:szCs w:val="24"/>
        </w:rPr>
        <w:t>-</w:t>
      </w:r>
      <w:r w:rsidRPr="001C1F0E">
        <w:rPr>
          <w:rFonts w:ascii="Times New Roman" w:hAnsi="Times New Roman" w:cs="Times New Roman"/>
          <w:sz w:val="24"/>
          <w:szCs w:val="24"/>
        </w:rPr>
        <w:t xml:space="preserve"> №31. </w:t>
      </w:r>
      <w:r w:rsidR="0095603D">
        <w:rPr>
          <w:rFonts w:ascii="Times New Roman" w:hAnsi="Times New Roman" w:cs="Times New Roman"/>
          <w:sz w:val="24"/>
          <w:szCs w:val="24"/>
        </w:rPr>
        <w:t>-</w:t>
      </w:r>
      <w:r w:rsidRPr="001C1F0E">
        <w:rPr>
          <w:rFonts w:ascii="Times New Roman" w:hAnsi="Times New Roman" w:cs="Times New Roman"/>
          <w:sz w:val="24"/>
          <w:szCs w:val="24"/>
        </w:rPr>
        <w:t xml:space="preserve"> Ст. 4412.</w:t>
      </w:r>
    </w:p>
    <w:p w14:paraId="2465672B" w14:textId="793F589C" w:rsidR="00232CB3" w:rsidRDefault="001C1F0E" w:rsidP="0095603D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03D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 w:rsidR="0095603D" w:rsidRPr="0095603D">
        <w:rPr>
          <w:rFonts w:ascii="Times New Roman" w:hAnsi="Times New Roman" w:cs="Times New Roman"/>
          <w:sz w:val="24"/>
          <w:szCs w:val="24"/>
        </w:rPr>
        <w:t>: федеральный закон</w:t>
      </w:r>
      <w:r w:rsidRPr="0095603D">
        <w:rPr>
          <w:rFonts w:ascii="Times New Roman" w:hAnsi="Times New Roman" w:cs="Times New Roman"/>
          <w:sz w:val="24"/>
          <w:szCs w:val="24"/>
        </w:rPr>
        <w:t xml:space="preserve"> от 21.11.2011 </w:t>
      </w:r>
      <w:r w:rsidR="0095603D" w:rsidRPr="0095603D">
        <w:rPr>
          <w:rFonts w:ascii="Times New Roman" w:hAnsi="Times New Roman" w:cs="Times New Roman"/>
          <w:sz w:val="24"/>
          <w:szCs w:val="24"/>
        </w:rPr>
        <w:t>№</w:t>
      </w:r>
      <w:r w:rsidRPr="0095603D">
        <w:rPr>
          <w:rFonts w:ascii="Times New Roman" w:hAnsi="Times New Roman" w:cs="Times New Roman"/>
          <w:sz w:val="24"/>
          <w:szCs w:val="24"/>
        </w:rPr>
        <w:t xml:space="preserve"> 323-ФЗ (</w:t>
      </w:r>
      <w:r w:rsidR="0095603D" w:rsidRPr="0095603D">
        <w:rPr>
          <w:rFonts w:ascii="Times New Roman" w:hAnsi="Times New Roman" w:cs="Times New Roman"/>
          <w:sz w:val="24"/>
          <w:szCs w:val="24"/>
        </w:rPr>
        <w:t>ред.</w:t>
      </w:r>
      <w:r w:rsidRPr="0095603D">
        <w:rPr>
          <w:rFonts w:ascii="Times New Roman" w:hAnsi="Times New Roman" w:cs="Times New Roman"/>
          <w:sz w:val="24"/>
          <w:szCs w:val="24"/>
        </w:rPr>
        <w:t xml:space="preserve"> от 2</w:t>
      </w:r>
      <w:r w:rsidR="0095603D" w:rsidRPr="0095603D">
        <w:rPr>
          <w:rFonts w:ascii="Times New Roman" w:hAnsi="Times New Roman" w:cs="Times New Roman"/>
          <w:sz w:val="24"/>
          <w:szCs w:val="24"/>
        </w:rPr>
        <w:t>9</w:t>
      </w:r>
      <w:r w:rsidRPr="0095603D">
        <w:rPr>
          <w:rFonts w:ascii="Times New Roman" w:hAnsi="Times New Roman" w:cs="Times New Roman"/>
          <w:sz w:val="24"/>
          <w:szCs w:val="24"/>
        </w:rPr>
        <w:t>.</w:t>
      </w:r>
      <w:r w:rsidR="0095603D" w:rsidRPr="0095603D">
        <w:rPr>
          <w:rFonts w:ascii="Times New Roman" w:hAnsi="Times New Roman" w:cs="Times New Roman"/>
          <w:sz w:val="24"/>
          <w:szCs w:val="24"/>
        </w:rPr>
        <w:t>12</w:t>
      </w:r>
      <w:r w:rsidRPr="0095603D">
        <w:rPr>
          <w:rFonts w:ascii="Times New Roman" w:hAnsi="Times New Roman" w:cs="Times New Roman"/>
          <w:sz w:val="24"/>
          <w:szCs w:val="24"/>
        </w:rPr>
        <w:t>.2025</w:t>
      </w:r>
      <w:r w:rsidR="0095603D" w:rsidRPr="0095603D">
        <w:rPr>
          <w:rFonts w:ascii="Times New Roman" w:hAnsi="Times New Roman" w:cs="Times New Roman"/>
          <w:sz w:val="24"/>
          <w:szCs w:val="24"/>
        </w:rPr>
        <w:t>)</w:t>
      </w:r>
      <w:r w:rsidRPr="0095603D">
        <w:rPr>
          <w:rFonts w:ascii="Times New Roman" w:hAnsi="Times New Roman" w:cs="Times New Roman"/>
          <w:sz w:val="24"/>
          <w:szCs w:val="24"/>
        </w:rPr>
        <w:t xml:space="preserve"> (с изм. и доп., вступ. в силу с </w:t>
      </w:r>
      <w:r w:rsidR="0095603D" w:rsidRPr="0095603D">
        <w:rPr>
          <w:rFonts w:ascii="Times New Roman" w:hAnsi="Times New Roman" w:cs="Times New Roman"/>
          <w:sz w:val="24"/>
          <w:szCs w:val="24"/>
        </w:rPr>
        <w:t>30</w:t>
      </w:r>
      <w:r w:rsidRPr="0095603D">
        <w:rPr>
          <w:rFonts w:ascii="Times New Roman" w:hAnsi="Times New Roman" w:cs="Times New Roman"/>
          <w:sz w:val="24"/>
          <w:szCs w:val="24"/>
        </w:rPr>
        <w:t>.0</w:t>
      </w:r>
      <w:r w:rsidR="0095603D" w:rsidRPr="0095603D">
        <w:rPr>
          <w:rFonts w:ascii="Times New Roman" w:hAnsi="Times New Roman" w:cs="Times New Roman"/>
          <w:sz w:val="24"/>
          <w:szCs w:val="24"/>
        </w:rPr>
        <w:t>3</w:t>
      </w:r>
      <w:r w:rsidRPr="0095603D">
        <w:rPr>
          <w:rFonts w:ascii="Times New Roman" w:hAnsi="Times New Roman" w:cs="Times New Roman"/>
          <w:sz w:val="24"/>
          <w:szCs w:val="24"/>
        </w:rPr>
        <w:t>.202</w:t>
      </w:r>
      <w:r w:rsidR="0095603D" w:rsidRPr="0095603D">
        <w:rPr>
          <w:rFonts w:ascii="Times New Roman" w:hAnsi="Times New Roman" w:cs="Times New Roman"/>
          <w:sz w:val="24"/>
          <w:szCs w:val="24"/>
        </w:rPr>
        <w:t>6</w:t>
      </w:r>
      <w:r w:rsidRPr="0095603D">
        <w:rPr>
          <w:rFonts w:ascii="Times New Roman" w:hAnsi="Times New Roman" w:cs="Times New Roman"/>
          <w:sz w:val="24"/>
          <w:szCs w:val="24"/>
        </w:rPr>
        <w:t>) //</w:t>
      </w:r>
      <w:r w:rsidR="0095603D">
        <w:rPr>
          <w:rFonts w:ascii="Times New Roman" w:hAnsi="Times New Roman" w:cs="Times New Roman"/>
          <w:sz w:val="24"/>
          <w:szCs w:val="24"/>
        </w:rPr>
        <w:t xml:space="preserve"> Собрание законодательства </w:t>
      </w:r>
      <w:r w:rsidR="00232CB3">
        <w:rPr>
          <w:rFonts w:ascii="Times New Roman" w:hAnsi="Times New Roman" w:cs="Times New Roman"/>
          <w:sz w:val="24"/>
          <w:szCs w:val="24"/>
        </w:rPr>
        <w:t>РФ. - 2011. - № 48. - Ст. 6724.</w:t>
      </w:r>
    </w:p>
    <w:p w14:paraId="5DEE3DD5" w14:textId="4D2145B5" w:rsidR="001C1F0E" w:rsidRPr="0095603D" w:rsidRDefault="001C1F0E" w:rsidP="0095603D">
      <w:pPr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603D">
        <w:rPr>
          <w:rFonts w:ascii="Times New Roman" w:hAnsi="Times New Roman" w:cs="Times New Roman"/>
          <w:sz w:val="24"/>
          <w:szCs w:val="24"/>
        </w:rPr>
        <w:t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</w:t>
      </w:r>
      <w:r w:rsidR="0095603D" w:rsidRPr="0095603D">
        <w:rPr>
          <w:rFonts w:ascii="Times New Roman" w:hAnsi="Times New Roman" w:cs="Times New Roman"/>
          <w:sz w:val="24"/>
          <w:szCs w:val="24"/>
        </w:rPr>
        <w:t>: Постановление Правительства РФ от 30.07.1994 № 890 (ред. от 14.02.2002)</w:t>
      </w:r>
      <w:r w:rsidR="00232CB3" w:rsidRPr="00232CB3">
        <w:t xml:space="preserve"> </w:t>
      </w:r>
      <w:r w:rsidR="00232CB3" w:rsidRPr="00232CB3">
        <w:rPr>
          <w:rFonts w:ascii="Times New Roman" w:hAnsi="Times New Roman" w:cs="Times New Roman"/>
          <w:sz w:val="24"/>
          <w:szCs w:val="24"/>
        </w:rPr>
        <w:t xml:space="preserve">(с изм. и доп., вступ. в силу с </w:t>
      </w:r>
      <w:r w:rsidR="00232CB3">
        <w:rPr>
          <w:rFonts w:ascii="Times New Roman" w:hAnsi="Times New Roman" w:cs="Times New Roman"/>
          <w:sz w:val="24"/>
          <w:szCs w:val="24"/>
        </w:rPr>
        <w:t>28.02.2002</w:t>
      </w:r>
      <w:r w:rsidR="00232CB3" w:rsidRPr="00232CB3">
        <w:rPr>
          <w:rFonts w:ascii="Times New Roman" w:hAnsi="Times New Roman" w:cs="Times New Roman"/>
          <w:sz w:val="24"/>
          <w:szCs w:val="24"/>
        </w:rPr>
        <w:t>)</w:t>
      </w:r>
      <w:r w:rsidRPr="0095603D">
        <w:rPr>
          <w:rFonts w:ascii="Times New Roman" w:hAnsi="Times New Roman" w:cs="Times New Roman"/>
          <w:sz w:val="24"/>
          <w:szCs w:val="24"/>
        </w:rPr>
        <w:t xml:space="preserve"> // </w:t>
      </w:r>
      <w:r w:rsidR="00232CB3">
        <w:rPr>
          <w:rFonts w:ascii="Times New Roman" w:hAnsi="Times New Roman" w:cs="Times New Roman"/>
          <w:sz w:val="24"/>
          <w:szCs w:val="24"/>
        </w:rPr>
        <w:t>Собрание законодательства РФ. - 1994. - № 15. - Ст. 1791.</w:t>
      </w:r>
    </w:p>
    <w:p w14:paraId="18B1DFD8" w14:textId="4AD2E0A8" w:rsidR="004A12F3" w:rsidRPr="004A12F3" w:rsidRDefault="00122AEC" w:rsidP="0095603D">
      <w:pPr>
        <w:pStyle w:val="a3"/>
        <w:numPr>
          <w:ilvl w:val="0"/>
          <w:numId w:val="1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A12F3">
        <w:rPr>
          <w:rFonts w:ascii="Times New Roman" w:hAnsi="Times New Roman" w:cs="Times New Roman"/>
          <w:sz w:val="24"/>
          <w:szCs w:val="24"/>
        </w:rPr>
        <w:t>Определение Судебной коллегии по гражданским делам Верховного Суда РФ №53-КГ17-32 от 19</w:t>
      </w:r>
      <w:r w:rsidR="00232CB3">
        <w:rPr>
          <w:rFonts w:ascii="Times New Roman" w:hAnsi="Times New Roman" w:cs="Times New Roman"/>
          <w:sz w:val="24"/>
          <w:szCs w:val="24"/>
        </w:rPr>
        <w:t>.02.</w:t>
      </w:r>
      <w:r w:rsidRPr="004A12F3">
        <w:rPr>
          <w:rFonts w:ascii="Times New Roman" w:hAnsi="Times New Roman" w:cs="Times New Roman"/>
          <w:sz w:val="24"/>
          <w:szCs w:val="24"/>
        </w:rPr>
        <w:t>2018</w:t>
      </w:r>
      <w:r w:rsidR="004A12F3" w:rsidRPr="004A12F3">
        <w:rPr>
          <w:rFonts w:ascii="Times New Roman" w:hAnsi="Times New Roman" w:cs="Times New Roman"/>
          <w:sz w:val="24"/>
          <w:szCs w:val="24"/>
        </w:rPr>
        <w:t xml:space="preserve"> // СПС КонсультантПлюс.</w:t>
      </w:r>
    </w:p>
    <w:p w14:paraId="06F14063" w14:textId="7AE52B45" w:rsidR="001C1F0E" w:rsidRPr="001C1F0E" w:rsidRDefault="001C1F0E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129935" w14:textId="77777777" w:rsidR="001C1F0E" w:rsidRPr="005369DD" w:rsidRDefault="001C1F0E" w:rsidP="0095603D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C1F0E" w:rsidRPr="005369DD" w:rsidSect="009560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45D1F"/>
    <w:multiLevelType w:val="hybridMultilevel"/>
    <w:tmpl w:val="22D49B0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6E4167"/>
    <w:multiLevelType w:val="hybridMultilevel"/>
    <w:tmpl w:val="22D49B00"/>
    <w:lvl w:ilvl="0" w:tplc="882094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2580198">
    <w:abstractNumId w:val="1"/>
  </w:num>
  <w:num w:numId="2" w16cid:durableId="1264339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DD"/>
    <w:rsid w:val="00122AEC"/>
    <w:rsid w:val="001C1F0E"/>
    <w:rsid w:val="0022714E"/>
    <w:rsid w:val="00232CB3"/>
    <w:rsid w:val="0028792B"/>
    <w:rsid w:val="0033420E"/>
    <w:rsid w:val="003F4A0E"/>
    <w:rsid w:val="004A12F3"/>
    <w:rsid w:val="005369DD"/>
    <w:rsid w:val="00681232"/>
    <w:rsid w:val="007D58FC"/>
    <w:rsid w:val="00863A27"/>
    <w:rsid w:val="008F2E2C"/>
    <w:rsid w:val="00946BC5"/>
    <w:rsid w:val="0095603D"/>
    <w:rsid w:val="00D575F0"/>
    <w:rsid w:val="00FC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E5D73"/>
  <w15:chartTrackingRefBased/>
  <w15:docId w15:val="{23BE700B-0F89-421C-99B9-C97C047C8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Азамат Читаов</cp:lastModifiedBy>
  <cp:revision>3</cp:revision>
  <dcterms:created xsi:type="dcterms:W3CDTF">2026-03-28T17:58:00Z</dcterms:created>
  <dcterms:modified xsi:type="dcterms:W3CDTF">2026-03-28T22:02:00Z</dcterms:modified>
</cp:coreProperties>
</file>