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ВЛИЯНИЕ СТРАНЫ ПРОИСХОЖДЕНИЯ ТОВАРА НА НАЛОГОВУЮ НАГРУЗКУ ИМПОРТЕРА</w:t>
      </w:r>
    </w:p>
    <w:p>
      <w:pPr>
        <w:pStyle w:val="По умолчанию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righ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 w:hint="default"/>
          <w:i w:val="1"/>
          <w:iCs w:val="1"/>
          <w:rtl w:val="0"/>
          <w:lang w:val="ru-RU"/>
        </w:rPr>
        <w:t>Набокова Д</w:t>
      </w:r>
      <w:r>
        <w:rPr>
          <w:rFonts w:ascii="Times New Roman" w:hAnsi="Times New Roman"/>
          <w:i w:val="1"/>
          <w:iCs w:val="1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А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., </w:t>
      </w:r>
    </w:p>
    <w:p>
      <w:pPr>
        <w:pStyle w:val="По умолчанию A"/>
        <w:suppressAutoHyphens w:val="1"/>
        <w:spacing w:before="0" w:line="240" w:lineRule="auto"/>
        <w:ind w:firstLine="700"/>
        <w:jc w:val="right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 w:hint="default"/>
          <w:i w:val="1"/>
          <w:iCs w:val="1"/>
          <w:shd w:val="clear" w:color="auto" w:fill="ffffff"/>
          <w:rtl w:val="0"/>
          <w:lang w:val="ru-RU"/>
        </w:rPr>
        <w:t>ФГБОУ ВО «Адыгейский государственный университет»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hd w:val="clear" w:color="auto" w:fill="ffffff"/>
          <w:rtl w:val="0"/>
          <w:lang w:val="ru-RU"/>
        </w:rPr>
        <w:t>г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hd w:val="clear" w:color="auto" w:fill="ffffff"/>
          <w:rtl w:val="0"/>
          <w:lang w:val="ru-RU"/>
        </w:rPr>
        <w:t>Майкоп</w:t>
      </w:r>
    </w:p>
    <w:p>
      <w:pPr>
        <w:pStyle w:val="По умолчанию A"/>
        <w:suppressAutoHyphens w:val="1"/>
        <w:spacing w:before="0" w:line="240" w:lineRule="auto"/>
        <w:ind w:firstLine="700"/>
        <w:jc w:val="right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 w:hint="default"/>
          <w:i w:val="1"/>
          <w:iCs w:val="1"/>
          <w:shd w:val="clear" w:color="auto" w:fill="ffffff"/>
          <w:rtl w:val="0"/>
          <w:lang w:val="ru-RU"/>
        </w:rPr>
        <w:t>Научный руководитель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hd w:val="clear" w:color="auto" w:fill="ffffff"/>
          <w:rtl w:val="0"/>
          <w:lang w:val="ru-RU"/>
        </w:rPr>
        <w:t>Мирзоян Р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shd w:val="clear" w:color="auto" w:fill="ffffff"/>
          <w:rtl w:val="0"/>
          <w:lang w:val="ru-RU"/>
        </w:rPr>
        <w:t>Э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ru-RU"/>
        </w:rPr>
        <w:t xml:space="preserve">., </w:t>
      </w:r>
      <w:r>
        <w:rPr>
          <w:rFonts w:ascii="Times New Roman" w:hAnsi="Times New Roman" w:hint="default"/>
          <w:i w:val="1"/>
          <w:iCs w:val="1"/>
          <w:shd w:val="clear" w:color="auto" w:fill="ffffff"/>
          <w:rtl w:val="0"/>
          <w:lang w:val="ru-RU"/>
        </w:rPr>
        <w:t>к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shd w:val="clear" w:color="auto" w:fill="ffffff"/>
          <w:rtl w:val="0"/>
          <w:lang w:val="ru-RU"/>
        </w:rPr>
        <w:t>ю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shd w:val="clear" w:color="auto" w:fill="ffffff"/>
          <w:rtl w:val="0"/>
          <w:lang w:val="ru-RU"/>
        </w:rPr>
        <w:t>н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ru-RU"/>
        </w:rPr>
        <w:t xml:space="preserve">., </w:t>
      </w:r>
      <w:r>
        <w:rPr>
          <w:rFonts w:ascii="Times New Roman" w:hAnsi="Times New Roman" w:hint="default"/>
          <w:i w:val="1"/>
          <w:iCs w:val="1"/>
          <w:shd w:val="clear" w:color="auto" w:fill="ffffff"/>
          <w:rtl w:val="0"/>
          <w:lang w:val="ru-RU"/>
        </w:rPr>
        <w:t>доцент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ru-RU"/>
        </w:rPr>
        <w:t>,</w:t>
      </w:r>
    </w:p>
    <w:p>
      <w:pPr>
        <w:pStyle w:val="По умолчанию A"/>
        <w:suppressAutoHyphens w:val="1"/>
        <w:spacing w:before="0" w:line="240" w:lineRule="auto"/>
        <w:ind w:firstLine="700"/>
        <w:jc w:val="right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 w:hint="default"/>
          <w:i w:val="1"/>
          <w:iCs w:val="1"/>
          <w:shd w:val="clear" w:color="auto" w:fill="ffffff"/>
          <w:rtl w:val="0"/>
          <w:lang w:val="ru-RU"/>
        </w:rPr>
        <w:t>ФГБОУ ВО «Адыгейский государственный университет»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hd w:val="clear" w:color="auto" w:fill="ffffff"/>
          <w:rtl w:val="0"/>
          <w:lang w:val="ru-RU"/>
        </w:rPr>
        <w:t>г</w:t>
      </w:r>
      <w:r>
        <w:rPr>
          <w:rFonts w:ascii="Times New Roman" w:hAnsi="Times New Roman"/>
          <w:i w:val="1"/>
          <w:iCs w:val="1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hd w:val="clear" w:color="auto" w:fill="ffffff"/>
          <w:rtl w:val="0"/>
          <w:lang w:val="ru-RU"/>
        </w:rPr>
        <w:t>Майкоп</w:t>
      </w:r>
    </w:p>
    <w:p>
      <w:pPr>
        <w:pStyle w:val="По умолчанию A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В условиях глобализации мировой экономики и активного развития международной торговли особую значимость приобретает вопрос формирования налоговой нагрузки на импортеров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Существенным фактором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влияющим на размер обязательных платежей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является страна происхождения товара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В рамках международного регулирования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включая нормы Всемирной Торговой Организации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страна происхождения выступает ключевым критерием для применения тарифных льгот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антидемпинговых мер и иных инструментов торговой политики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Страна происхождения товара 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государство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котором товар был полностью произведен либо подвергся достаточной переработке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Определение происхождения товара осуществляется в соответствии с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По умолчанию A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международными соглашениями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По умолчанию A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национальным таможенным законодательством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По умолчанию A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нормами ВТО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По умолчанию A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Критерии происхождения включают принцип полностью произведенного товара и принцип достаточной переработки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то есть изменение товарной позиции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добавленная стоимость и так далее </w:t>
      </w:r>
      <w:r>
        <w:rPr>
          <w:rFonts w:ascii="Times New Roman" w:hAnsi="Times New Roman"/>
          <w:rtl w:val="0"/>
          <w:lang w:val="ru-RU"/>
        </w:rPr>
        <w:t>[1].</w:t>
      </w:r>
    </w:p>
    <w:p>
      <w:pPr>
        <w:pStyle w:val="По умолчанию A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Налоговая нагрузка импортера формируется за счет следующих платежей </w:t>
      </w:r>
      <w:r>
        <w:rPr>
          <w:rFonts w:ascii="Times New Roman" w:hAnsi="Times New Roman"/>
          <w:rtl w:val="0"/>
          <w:lang w:val="ru-RU"/>
        </w:rPr>
        <w:t>[2]:</w:t>
      </w:r>
    </w:p>
    <w:p>
      <w:pPr>
        <w:pStyle w:val="По умолчанию A"/>
        <w:numPr>
          <w:ilvl w:val="0"/>
          <w:numId w:val="4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Таможенная пошлина 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обязательный платеж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взимаемый государством при ввозе или вывозе товаров через границу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Выполняет две ключевые функции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защищает внутренний рынок от чрезмерного импорта и пополняет государственный бюджет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numPr>
          <w:ilvl w:val="0"/>
          <w:numId w:val="4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Налог на добавленную стоимость 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косвенный налог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форма изъятия в бюджет государства части добавленной стоимости товара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работы или услуги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которая создается в процессе производства товаров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работ и услуг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numPr>
          <w:ilvl w:val="0"/>
          <w:numId w:val="4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Акциз 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косвенный налог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который накладывается в момент производства на товары массового потребления внутри страны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По умолчанию A"/>
        <w:numPr>
          <w:ilvl w:val="0"/>
          <w:numId w:val="4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Таможенные сборы 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обязательный платеж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который таможня собирает за совершение операций по выпуску товаров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Размер платежей напрямую зависит от страны происхождения товара и применяемого торгового режима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Страна происхождения товара определяет применение одного из следующих режимов </w:t>
      </w:r>
      <w:r>
        <w:rPr>
          <w:rFonts w:ascii="Times New Roman" w:hAnsi="Times New Roman"/>
          <w:rtl w:val="0"/>
          <w:lang w:val="ru-RU"/>
        </w:rPr>
        <w:t>[3]:</w:t>
      </w:r>
    </w:p>
    <w:p>
      <w:pPr>
        <w:pStyle w:val="По умолчанию A"/>
        <w:numPr>
          <w:ilvl w:val="0"/>
          <w:numId w:val="5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Режим наибольшего благоприятствования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применяется к большинству стран и предполагает базовые ставки таможенных пошлин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numPr>
          <w:ilvl w:val="0"/>
          <w:numId w:val="4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Преференциальный режим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предусматривает снижение или полную отмену пошлин для товаров из стран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 которыми заключены торговые соглашения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numPr>
          <w:ilvl w:val="0"/>
          <w:numId w:val="4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Дискриминационные меры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 xml:space="preserve">в отдельных случаях могут применяться повышенные ставки пошлин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антидемпинговые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компенсационные</w:t>
      </w:r>
      <w:r>
        <w:rPr>
          <w:rFonts w:ascii="Times New Roman" w:hAnsi="Times New Roman"/>
          <w:rtl w:val="0"/>
          <w:lang w:val="ru-RU"/>
        </w:rPr>
        <w:t xml:space="preserve">), </w:t>
      </w:r>
      <w:r>
        <w:rPr>
          <w:rFonts w:ascii="Times New Roman" w:hAnsi="Times New Roman" w:hint="default"/>
          <w:rtl w:val="0"/>
          <w:lang w:val="ru-RU"/>
        </w:rPr>
        <w:t>что увеличивает налоговую нагрузку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Международные соглашения играют ключевую роль в формировании налоговой нагрузки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 таким соглашениям относятся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По умолчанию A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соглашения о свободной торговле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По умолчанию A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таможенные союзы</w:t>
      </w:r>
      <w:r>
        <w:rPr>
          <w:rFonts w:ascii="Times New Roman" w:hAnsi="Times New Roman"/>
          <w:rtl w:val="0"/>
          <w:lang w:val="ru-RU"/>
        </w:rPr>
        <w:t xml:space="preserve">; </w:t>
      </w:r>
    </w:p>
    <w:p>
      <w:pPr>
        <w:pStyle w:val="По умолчанию A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специальные преференциальные режимы для развивающихся стран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Они позволяют импортёрам значительно снизить издержки при условии соблюдения правил происхождения товаров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На практике импортеры сталкиваются с рядом проблем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сложность подтверждения страны происхождения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различия в национальных правилах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риск доначисления таможенных платежей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необходимость документального подтверждения преференций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Ошибки в определении страны происхождения могут привести к увеличению налоговой нагрузки и применению штрафных санкций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Так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для снижения налоговой нагрузки импортёрам рекомендуется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По умолчанию A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использовать преференциальные торговые режимы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По умолчанию A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тщательно анализировать цепочки поставок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По умолчанию A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корректно оформлять сертификаты происхождения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По умолчанию A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учитывать изменения в международном торговом законодательстве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suppressAutoHyphens w:val="1"/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Таким образом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страна происхождения товара является одним из ключевых факторов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влияющих на налоговую нагрузку импортёра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От правильности её определения зависит применение тарифных ставок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возможность использования льгот и общий уровень затрат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 условиях глобализации и развития международной торговли значение данного фактора продолжает возрастать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требует от участников внешнеэкономической деятельности высокого уровня компетентности и внимательного подхода к вопросам таможенного регулирования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</w:rPr>
      </w:pPr>
    </w:p>
    <w:p>
      <w:pPr>
        <w:pStyle w:val="По умолчанию A"/>
        <w:suppressAutoHyphens w:val="1"/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Список литературы</w:t>
      </w:r>
      <w:r>
        <w:rPr>
          <w:rFonts w:ascii="Times New Roman" w:hAnsi="Times New Roman"/>
          <w:b w:val="1"/>
          <w:bCs w:val="1"/>
          <w:rtl w:val="0"/>
          <w:lang w:val="ru-RU"/>
        </w:rPr>
        <w:t>: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Соглашение о правилах определения происхождения товаров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: [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международное соглашение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] 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заключено в 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Марракеш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15.04.1994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Марракешское соглашение об учреждении </w:t>
      </w:r>
      <w:r>
        <w:rPr>
          <w:rFonts w:ascii="Times New Roman" w:hAnsi="Times New Roman" w:hint="default"/>
          <w:outline w:val="0"/>
          <w:color w:val="0000ee"/>
          <w:sz w:val="24"/>
          <w:szCs w:val="24"/>
          <w:u w:val="single" w:color="0000ee"/>
          <w:rtl w:val="0"/>
          <w:lang w:val="ru-RU"/>
          <w14:textFill>
            <w14:solidFill>
              <w14:srgbClr w14:val="0000EE"/>
            </w14:solidFill>
          </w14:textFill>
        </w:rPr>
        <w:t>Всемирная торговая организация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Женева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>, 1994.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Налоговый кодекс Российской Федерации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федер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закон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31.07.1998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>146-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ФЗ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Собрание законодательства РФ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1998.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>. 3824.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Гусейнова 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Правовые основы Таможенного налогообложения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Экономика и бизнес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2014.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/>
          <w:sz w:val="24"/>
          <w:szCs w:val="24"/>
          <w:rtl w:val="0"/>
          <w:lang w:val="en-US"/>
        </w:rPr>
        <w:t>URL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4"/>
          <w:szCs w:val="24"/>
          <w:u w:val="single" w:color="0000ff"/>
          <w:lang w:val="ru-RU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4"/>
          <w:szCs w:val="24"/>
          <w:u w:val="single" w:color="0000ff"/>
          <w:lang w:val="ru-RU"/>
          <w14:textFill>
            <w14:solidFill>
              <w14:srgbClr w14:val="0000FF"/>
            </w14:solidFill>
          </w14:textFill>
        </w:rPr>
        <w:instrText xml:space="preserve"> HYPERLINK "https://cyberleninka.ru/article/n/pravovye-osnovy-tamozhennogo-nalogooblozheniya"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4"/>
          <w:szCs w:val="24"/>
          <w:u w:val="single" w:color="0000ff"/>
          <w:lang w:val="ru-RU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000ff"/>
          <w:sz w:val="24"/>
          <w:szCs w:val="24"/>
          <w:u w:val="single" w:color="0000ff"/>
          <w:rtl w:val="0"/>
          <w:lang w:val="ru-RU"/>
          <w14:textFill>
            <w14:solidFill>
              <w14:srgbClr w14:val="0000FF"/>
            </w14:solidFill>
          </w14:textFill>
        </w:rPr>
        <w:t>https://cyberleninka.ru/article/n/pravovye-osnovy-tamozhennogo-nalogooblozheniya</w:t>
      </w:r>
      <w:r>
        <w:rPr>
          <w:rFonts w:ascii="Times New Roman" w:cs="Times New Roman" w:hAnsi="Times New Roman" w:eastAsia="Times New Roman"/>
          <w:sz w:val="24"/>
          <w:szCs w:val="24"/>
        </w:rPr>
        <w:fldChar w:fldCharType="end" w:fldLock="0"/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 (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ru-RU"/>
        </w:rPr>
        <w:t>дата обращения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>: 03.04.2026).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Тире"/>
  </w:abstractNum>
  <w:abstractNum w:abstractNumId="1">
    <w:multiLevelType w:val="hybridMultilevel"/>
    <w:styleLink w:val="Тире"/>
    <w:lvl w:ilvl="0">
      <w:start w:val="1"/>
      <w:numFmt w:val="bullet"/>
      <w:suff w:val="tab"/>
      <w:lvlText w:val="-"/>
      <w:lvlJc w:val="left"/>
      <w:pPr>
        <w:tabs>
          <w:tab w:val="num" w:pos="971"/>
        </w:tabs>
        <w:ind w:left="262" w:firstLine="44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num" w:pos="971"/>
        </w:tabs>
        <w:ind w:left="262" w:firstLine="44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971"/>
          <w:tab w:val="num" w:pos="1189"/>
        </w:tabs>
        <w:ind w:left="480" w:firstLine="44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971"/>
          <w:tab w:val="num" w:pos="1429"/>
        </w:tabs>
        <w:ind w:left="720" w:firstLine="44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971"/>
          <w:tab w:val="num" w:pos="1669"/>
        </w:tabs>
        <w:ind w:left="960" w:firstLine="44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971"/>
          <w:tab w:val="num" w:pos="1909"/>
        </w:tabs>
        <w:ind w:left="1200" w:firstLine="44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971"/>
          <w:tab w:val="num" w:pos="2149"/>
        </w:tabs>
        <w:ind w:left="1440" w:firstLine="44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971"/>
          <w:tab w:val="num" w:pos="2389"/>
        </w:tabs>
        <w:ind w:left="1680" w:firstLine="44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971"/>
          <w:tab w:val="num" w:pos="2629"/>
        </w:tabs>
        <w:ind w:left="1920" w:firstLine="44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2">
    <w:multiLevelType w:val="hybridMultilevel"/>
    <w:numStyleLink w:val="С числами"/>
  </w:abstractNum>
  <w:abstractNum w:abstractNumId="3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tabs>
          <w:tab w:val="num" w:pos="962"/>
        </w:tabs>
        <w:ind w:left="253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962"/>
          <w:tab w:val="num" w:pos="1509"/>
        </w:tabs>
        <w:ind w:left="800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962"/>
          <w:tab w:val="num" w:pos="2309"/>
        </w:tabs>
        <w:ind w:left="1600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962"/>
          <w:tab w:val="num" w:pos="3109"/>
        </w:tabs>
        <w:ind w:left="2400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962"/>
          <w:tab w:val="num" w:pos="3909"/>
        </w:tabs>
        <w:ind w:left="3200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962"/>
          <w:tab w:val="num" w:pos="4709"/>
        </w:tabs>
        <w:ind w:left="4000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962"/>
          <w:tab w:val="num" w:pos="5509"/>
        </w:tabs>
        <w:ind w:left="4800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962"/>
          <w:tab w:val="num" w:pos="6309"/>
        </w:tabs>
        <w:ind w:left="5600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962"/>
          <w:tab w:val="num" w:pos="7109"/>
        </w:tabs>
        <w:ind w:left="6400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С числами.0"/>
  </w:abstractNum>
  <w:abstractNum w:abstractNumId="5">
    <w:multiLevelType w:val="hybridMultilevel"/>
    <w:styleLink w:val="С числами.0"/>
    <w:lvl w:ilvl="0">
      <w:start w:val="1"/>
      <w:numFmt w:val="decimal"/>
      <w:suff w:val="tab"/>
      <w:lvlText w:val="%1.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305"/>
        </w:tabs>
        <w:ind w:left="596" w:firstLine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096"/>
        </w:tabs>
        <w:ind w:left="387" w:firstLine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896"/>
        </w:tabs>
        <w:ind w:left="1187" w:firstLine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ind w:left="1987" w:firstLine="5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3496"/>
        </w:tabs>
        <w:ind w:left="2787" w:hanging="1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296"/>
        </w:tabs>
        <w:ind w:left="3587" w:hanging="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5096"/>
        </w:tabs>
        <w:ind w:left="4387" w:firstLine="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5896"/>
        </w:tabs>
        <w:ind w:left="5187" w:firstLine="1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 A">
    <w:name w:val="По умолчанию A"/>
    <w:next w:val="По умолчанию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Тире">
    <w:name w:val="Тире"/>
    <w:pPr>
      <w:numPr>
        <w:numId w:val="1"/>
      </w:numPr>
    </w:pPr>
  </w:style>
  <w:style w:type="numbering" w:styleId="С числами">
    <w:name w:val="С числами"/>
    <w:pPr>
      <w:numPr>
        <w:numId w:val="3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С числами.0">
    <w:name w:val="С числами.0"/>
    <w:pPr>
      <w:numPr>
        <w:numId w:val="6"/>
      </w:numPr>
    </w:p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outline w:val="0"/>
      <w:color w:val="0000ff"/>
      <w:u w:val="single" w:color="0000ff"/>
      <w:lang w:val="ru-RU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