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FDB0" w14:textId="0B34998F" w:rsidR="00E5792E" w:rsidRPr="00983FC1" w:rsidRDefault="002A356D" w:rsidP="002A356D">
      <w:pPr>
        <w:jc w:val="center"/>
        <w:rPr>
          <w:rStyle w:val="a3"/>
          <w:rFonts w:ascii="Times New Roman" w:hAnsi="Times New Roman" w:cs="Times New Roman"/>
          <w:color w:val="0F1115"/>
          <w:sz w:val="24"/>
          <w:szCs w:val="24"/>
          <w:shd w:val="clear" w:color="auto" w:fill="FFFFFF"/>
        </w:rPr>
      </w:pPr>
      <w:r w:rsidRPr="00983FC1">
        <w:rPr>
          <w:rStyle w:val="a3"/>
          <w:rFonts w:ascii="Times New Roman" w:hAnsi="Times New Roman" w:cs="Times New Roman"/>
          <w:color w:val="0F1115"/>
          <w:sz w:val="24"/>
          <w:szCs w:val="24"/>
          <w:shd w:val="clear" w:color="auto" w:fill="FFFFFF"/>
        </w:rPr>
        <w:t>НАЛОГООБЛОЖЕНИЕ ЦИФРОВЫХ АКТИВОВ: ПРОБЛЕМЫ ПРАВОВОГО РЕГУЛИРОВАНИЯ КРИПТОВАЛЮТ И NFT</w:t>
      </w:r>
    </w:p>
    <w:p w14:paraId="27671444" w14:textId="7481A13F" w:rsidR="00EC053C" w:rsidRPr="00983FC1" w:rsidRDefault="00EC053C" w:rsidP="00983FC1">
      <w:pPr>
        <w:spacing w:after="0" w:line="240" w:lineRule="auto"/>
        <w:ind w:firstLine="709"/>
        <w:jc w:val="right"/>
        <w:rPr>
          <w:rFonts w:ascii="Times New Roman" w:eastAsia="Times New Roman" w:hAnsi="Times New Roman" w:cs="Times New Roman"/>
          <w:sz w:val="24"/>
          <w:szCs w:val="24"/>
          <w:lang w:eastAsia="ru-RU"/>
        </w:rPr>
      </w:pPr>
      <w:r w:rsidRPr="00983FC1">
        <w:rPr>
          <w:rFonts w:ascii="Times New Roman" w:eastAsia="Times New Roman" w:hAnsi="Times New Roman" w:cs="Times New Roman"/>
          <w:i/>
          <w:iCs/>
          <w:color w:val="000000"/>
          <w:sz w:val="24"/>
          <w:szCs w:val="24"/>
          <w:lang w:eastAsia="ru-RU"/>
        </w:rPr>
        <w:t>Хамуков А.</w:t>
      </w:r>
      <w:r w:rsidR="00051B57" w:rsidRPr="00983FC1">
        <w:rPr>
          <w:rFonts w:ascii="Times New Roman" w:eastAsia="Times New Roman" w:hAnsi="Times New Roman" w:cs="Times New Roman"/>
          <w:i/>
          <w:iCs/>
          <w:color w:val="000000"/>
          <w:sz w:val="24"/>
          <w:szCs w:val="24"/>
          <w:lang w:eastAsia="ru-RU"/>
        </w:rPr>
        <w:t>Б.</w:t>
      </w:r>
      <w:r w:rsidRPr="00983FC1">
        <w:rPr>
          <w:rFonts w:ascii="Times New Roman" w:eastAsia="Times New Roman" w:hAnsi="Times New Roman" w:cs="Times New Roman"/>
          <w:i/>
          <w:iCs/>
          <w:color w:val="000000"/>
          <w:sz w:val="24"/>
          <w:szCs w:val="24"/>
          <w:lang w:eastAsia="ru-RU"/>
        </w:rPr>
        <w:t>,</w:t>
      </w:r>
    </w:p>
    <w:p w14:paraId="7EC149F2" w14:textId="583EB303" w:rsidR="00EC053C" w:rsidRPr="00983FC1" w:rsidRDefault="00EC053C" w:rsidP="00983FC1">
      <w:pPr>
        <w:shd w:val="clear" w:color="auto" w:fill="FFFFFF"/>
        <w:spacing w:after="0" w:line="240" w:lineRule="auto"/>
        <w:ind w:firstLine="709"/>
        <w:jc w:val="right"/>
        <w:rPr>
          <w:rFonts w:ascii="Times New Roman" w:eastAsia="Times New Roman" w:hAnsi="Times New Roman" w:cs="Times New Roman"/>
          <w:i/>
          <w:iCs/>
          <w:color w:val="0F1115"/>
          <w:sz w:val="24"/>
          <w:szCs w:val="24"/>
          <w:lang w:eastAsia="ru-RU"/>
        </w:rPr>
      </w:pPr>
      <w:bookmarkStart w:id="0" w:name="_Hlk226731956"/>
      <w:r w:rsidRPr="00983FC1">
        <w:rPr>
          <w:rFonts w:ascii="Times New Roman" w:eastAsia="Times New Roman" w:hAnsi="Times New Roman" w:cs="Times New Roman"/>
          <w:i/>
          <w:iCs/>
          <w:color w:val="0F1115"/>
          <w:sz w:val="24"/>
          <w:szCs w:val="24"/>
          <w:lang w:eastAsia="ru-RU"/>
        </w:rPr>
        <w:t>ФГБОУ ВО «Адыгейский государственный университет», г. Майкоп</w:t>
      </w:r>
    </w:p>
    <w:bookmarkEnd w:id="0"/>
    <w:p w14:paraId="7159941A" w14:textId="77777777" w:rsidR="00983FC1" w:rsidRPr="00983FC1" w:rsidRDefault="00983FC1" w:rsidP="00983FC1">
      <w:pPr>
        <w:pStyle w:val="ds-markdown-paragraph"/>
        <w:shd w:val="clear" w:color="auto" w:fill="FFFFFF"/>
        <w:spacing w:before="0" w:beforeAutospacing="0" w:after="0" w:afterAutospacing="0"/>
        <w:ind w:firstLine="709"/>
        <w:jc w:val="right"/>
        <w:rPr>
          <w:i/>
          <w:iCs/>
          <w:color w:val="000000"/>
        </w:rPr>
      </w:pPr>
      <w:r w:rsidRPr="00983FC1">
        <w:rPr>
          <w:i/>
          <w:iCs/>
          <w:color w:val="000000"/>
        </w:rPr>
        <w:t>Научный руководитель: Мирзоян Р.Э., к.ю.н., доцент,</w:t>
      </w:r>
    </w:p>
    <w:p w14:paraId="149392B9" w14:textId="77777777" w:rsidR="00983FC1" w:rsidRPr="00983FC1" w:rsidRDefault="00983FC1" w:rsidP="00983FC1">
      <w:pPr>
        <w:pStyle w:val="ds-markdown-paragraph"/>
        <w:shd w:val="clear" w:color="auto" w:fill="FFFFFF"/>
        <w:spacing w:before="0" w:beforeAutospacing="0" w:after="0" w:afterAutospacing="0"/>
        <w:ind w:firstLine="709"/>
        <w:jc w:val="right"/>
        <w:rPr>
          <w:i/>
          <w:iCs/>
          <w:color w:val="000000"/>
        </w:rPr>
      </w:pPr>
      <w:r w:rsidRPr="00983FC1">
        <w:rPr>
          <w:i/>
          <w:iCs/>
          <w:color w:val="000000"/>
        </w:rPr>
        <w:t>ФГБОУ ВО «Адыгейский государственный университет», г. Майкоп</w:t>
      </w:r>
    </w:p>
    <w:p w14:paraId="17D0F362" w14:textId="77777777" w:rsidR="00EC053C" w:rsidRPr="00983FC1" w:rsidRDefault="00EC053C" w:rsidP="00C37A9E">
      <w:pPr>
        <w:pStyle w:val="ds-markdown-paragraph"/>
        <w:shd w:val="clear" w:color="auto" w:fill="FFFFFF"/>
        <w:spacing w:before="0" w:beforeAutospacing="0" w:after="0" w:afterAutospacing="0"/>
        <w:ind w:firstLine="709"/>
        <w:jc w:val="both"/>
        <w:rPr>
          <w:color w:val="0F1115"/>
        </w:rPr>
      </w:pPr>
    </w:p>
    <w:p w14:paraId="31735714" w14:textId="449F6AE6"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Стремительное развитие технологий распределенного реестра и распространение цифровых активов, включая криптовалюты и невзаимозаменяемые токены (NFT), привели к возникновению феномена, не имеющего аналогов в традиционном имущественном обороте. Классические модели налогообложения, основанные на категориях «товар», «услуга», «денежные средства» или «имущественное право», демонстрируют свою недостаточность при попытке их экстраполяции на децентрализованные объекты</w:t>
      </w:r>
      <w:r w:rsidR="004B37A4" w:rsidRPr="00983FC1">
        <w:rPr>
          <w:color w:val="0F1115"/>
        </w:rPr>
        <w:t xml:space="preserve"> [1, с. 35-36]. </w:t>
      </w:r>
      <w:r w:rsidRPr="00983FC1">
        <w:rPr>
          <w:color w:val="0F1115"/>
        </w:rPr>
        <w:t xml:space="preserve">Правовое регулирование в данной сфере характеризуется существенным отставанием от технологического развития, что порождает множественные коллизии, риски ухода от налогообложения и нарушения принципа равенства налогоплательщиков. </w:t>
      </w:r>
    </w:p>
    <w:p w14:paraId="2B5D7DCE" w14:textId="1F31AD61"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Фундаментальной преградой для построения эффективной системы налогообложения выступает отсутствие унифицированной легальной дефиниции криптовалюты</w:t>
      </w:r>
      <w:r w:rsidR="00962E77" w:rsidRPr="00983FC1">
        <w:rPr>
          <w:color w:val="0F1115"/>
        </w:rPr>
        <w:t xml:space="preserve"> [1, с. 42].</w:t>
      </w:r>
      <w:r w:rsidRPr="00983FC1">
        <w:rPr>
          <w:color w:val="0F1115"/>
        </w:rPr>
        <w:t xml:space="preserve"> В зависимости от юрисдикции и даже конкретной судебной практики, криптовалюта может квалифицироваться как:</w:t>
      </w:r>
      <w:r w:rsidRPr="00983FC1">
        <w:rPr>
          <w:color w:val="0F1115"/>
        </w:rPr>
        <w:br/>
        <w:t>а) «цифровой товар» (например, разъяснения Минфина России для целей НДС);</w:t>
      </w:r>
      <w:r w:rsidRPr="00983FC1">
        <w:rPr>
          <w:color w:val="0F1115"/>
        </w:rPr>
        <w:br/>
        <w:t>б) «совокупность имущественных прав» (подход некоторых стран ЕС);</w:t>
      </w:r>
      <w:r w:rsidRPr="00983FC1">
        <w:rPr>
          <w:color w:val="0F1115"/>
        </w:rPr>
        <w:br/>
        <w:t>в) «средство платежа» (признано в Сальвадоре, однако отвергается большинством центробанков)</w:t>
      </w:r>
      <w:r w:rsidR="00962E77" w:rsidRPr="00983FC1">
        <w:rPr>
          <w:color w:val="0F1115"/>
        </w:rPr>
        <w:t xml:space="preserve"> [2].</w:t>
      </w:r>
    </w:p>
    <w:p w14:paraId="3CB00F05" w14:textId="77777777"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С правовой точки зрения, эта неопределенность влечет следующие налоговые последствия. Во-первых, при квалификации криптовалюты как товара, операции по ее реализации подлежат обложению НДС, что требует от налогоплательщика-продавца выставления счетов-фактур, что технически невозможно в рамках децентрализованного обмена. Во-вторых, для целей налога на прибыль и НДФЛ возникает вопрос: считать ли доход от переоценки криптовалюты курсовой разницей (как по валютным счетам) или доходом от реализации товара. Отсутствие ответа на этот вопрос порождает правовую неопределенность и, как следствие, судебные споры.</w:t>
      </w:r>
    </w:p>
    <w:p w14:paraId="4391B7EE" w14:textId="27013AEC"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Следующая группа проблем связана с определением стоимостного выражения объекта налогообложения. Криптовалюты и NFT характеризуются высокой волатильностью и отсутствием единого регулируемого рынка. Котировки на различных криптобиржах могут различаться на 5-10 процентов в один и тот же момент времени. Налоговое законодательство большинства государств не содержит механизмов выбора «правильной цены» для таких активов</w:t>
      </w:r>
      <w:r w:rsidR="002E0197" w:rsidRPr="00983FC1">
        <w:rPr>
          <w:color w:val="0F1115"/>
        </w:rPr>
        <w:t xml:space="preserve"> </w:t>
      </w:r>
      <w:r w:rsidR="00450F05" w:rsidRPr="00983FC1">
        <w:rPr>
          <w:color w:val="0F1115"/>
          <w:shd w:val="clear" w:color="auto" w:fill="FFFFFF"/>
        </w:rPr>
        <w:t>[</w:t>
      </w:r>
      <w:r w:rsidR="001B2C9E" w:rsidRPr="00983FC1">
        <w:rPr>
          <w:color w:val="0F1115"/>
          <w:shd w:val="clear" w:color="auto" w:fill="FFFFFF"/>
        </w:rPr>
        <w:t>4</w:t>
      </w:r>
      <w:r w:rsidR="00450F05" w:rsidRPr="00983FC1">
        <w:rPr>
          <w:color w:val="0F1115"/>
          <w:shd w:val="clear" w:color="auto" w:fill="FFFFFF"/>
        </w:rPr>
        <w:t>, с. 33-34]</w:t>
      </w:r>
      <w:r w:rsidR="002E0197" w:rsidRPr="00983FC1">
        <w:rPr>
          <w:color w:val="0F1115"/>
        </w:rPr>
        <w:t>.</w:t>
      </w:r>
    </w:p>
    <w:p w14:paraId="484A097D" w14:textId="77777777"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Возникает правовая дилемма: следует ли использовать цену на момент приобретения актива (для расчета налогооблагаемой базы при последующей продаже), цену на момент совершения операции (для исчисления НДС) или средневзвешенную цену за период. Кроме того, операции обмена криптовалюты на криптовалюту (например, BTC на ETH) создают ситуацию «бартерной сделки», при которой каждая из сторон должна самостоятельно оценить полученный актив, что практически не поддается налоговому администрированию. Действующие методы ФИФО (FIFO) и ЛИФО (LIFO), разработанные для учета товарно-материальных запасов, неприменимы к цифровым активам без существенной модификации.</w:t>
      </w:r>
    </w:p>
    <w:p w14:paraId="4A451A76" w14:textId="77777777"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 xml:space="preserve">Цифровые активы по своей сути являются трансграничными. Правовое регулирование сталкивается с проблемой «юрисдикционной привязки»: местонахождение эмитента криптовалюты отсутствует, серверы криптобирж могут быть распределены по всему миру, а стороны сделки могут находиться в разных государствах. Классические налоговые механизмы, такие как «удержание налога у источника выплаты», здесь не </w:t>
      </w:r>
      <w:r w:rsidRPr="00983FC1">
        <w:rPr>
          <w:color w:val="0F1115"/>
        </w:rPr>
        <w:lastRenderedPageBreak/>
        <w:t>работают, поскольку смарт-контракты не обладают правосубъектностью и не могут выступать в роли налогового агента.</w:t>
      </w:r>
    </w:p>
    <w:p w14:paraId="2B036691" w14:textId="7D65C765"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Невзаимозаменяемые токены (NFT) представляют собой особую категорию цифровых активов, юридическая природа которых является предметом дискуссий</w:t>
      </w:r>
      <w:r w:rsidR="0005392A" w:rsidRPr="00983FC1">
        <w:rPr>
          <w:color w:val="0F1115"/>
        </w:rPr>
        <w:t xml:space="preserve"> [</w:t>
      </w:r>
      <w:r w:rsidR="004873B7" w:rsidRPr="00983FC1">
        <w:rPr>
          <w:color w:val="0F1115"/>
        </w:rPr>
        <w:t>3, с. 211</w:t>
      </w:r>
      <w:r w:rsidR="0005392A" w:rsidRPr="00983FC1">
        <w:rPr>
          <w:color w:val="0F1115"/>
        </w:rPr>
        <w:t>]</w:t>
      </w:r>
      <w:r w:rsidRPr="00983FC1">
        <w:rPr>
          <w:color w:val="0F1115"/>
        </w:rPr>
        <w:t xml:space="preserve">. С технической точки зрения, NFT </w:t>
      </w:r>
      <w:r w:rsidR="00983FC1" w:rsidRPr="00983FC1">
        <w:rPr>
          <w:color w:val="0F1115"/>
        </w:rPr>
        <w:t>-</w:t>
      </w:r>
      <w:r w:rsidRPr="00983FC1">
        <w:rPr>
          <w:color w:val="0F1115"/>
        </w:rPr>
        <w:t xml:space="preserve"> запись в распределенном реестре, удостоверяющая право на метаданные, которые могут указывать на цифровой или физический объект. С налоговой точки зрения, это порождает три альтернативных режима:</w:t>
      </w:r>
    </w:p>
    <w:p w14:paraId="3C829BC6" w14:textId="0FFFF51E"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rStyle w:val="a4"/>
          <w:color w:val="0F1115"/>
        </w:rPr>
        <w:t>Первый режим</w:t>
      </w:r>
      <w:r w:rsidRPr="00983FC1">
        <w:rPr>
          <w:color w:val="0F1115"/>
        </w:rPr>
        <w:t> </w:t>
      </w:r>
      <w:r w:rsidR="00983FC1" w:rsidRPr="00983FC1">
        <w:rPr>
          <w:color w:val="0F1115"/>
        </w:rPr>
        <w:t>-</w:t>
      </w:r>
      <w:r w:rsidRPr="00983FC1">
        <w:rPr>
          <w:color w:val="0F1115"/>
        </w:rPr>
        <w:t xml:space="preserve"> налогообложение как прироста капитала (capital gains). При перепродаже NFT владельцем налогом облагается положительная разница между ценой продажи и ценой приобретения. Данный подход применяется в США, однако он требует ведения точного учета каждой отдельной единицы NFT.</w:t>
      </w:r>
    </w:p>
    <w:p w14:paraId="799EBF43" w14:textId="4FC7253F"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rStyle w:val="a4"/>
          <w:color w:val="0F1115"/>
        </w:rPr>
        <w:t>Второй режим</w:t>
      </w:r>
      <w:r w:rsidRPr="00983FC1">
        <w:rPr>
          <w:color w:val="0F1115"/>
        </w:rPr>
        <w:t> </w:t>
      </w:r>
      <w:r w:rsidR="00983FC1" w:rsidRPr="00983FC1">
        <w:rPr>
          <w:color w:val="0F1115"/>
        </w:rPr>
        <w:t>-</w:t>
      </w:r>
      <w:r w:rsidRPr="00983FC1">
        <w:rPr>
          <w:color w:val="0F1115"/>
        </w:rPr>
        <w:t xml:space="preserve"> квалификация первичной продажи (минта) NFT как оказания цифровой услуги с обложением НДС. Если создатель NFT продает токен, содержащий ссылку на изображение, возникает вопрос: продается ли само изображение (объект авторского права) или только сертификат на него. Правовая квалификация меняет налоговую базу.</w:t>
      </w:r>
    </w:p>
    <w:p w14:paraId="5A1C605A" w14:textId="5D044BBE"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rStyle w:val="a4"/>
          <w:color w:val="0F1115"/>
        </w:rPr>
        <w:t>Третий режим</w:t>
      </w:r>
      <w:r w:rsidRPr="00983FC1">
        <w:rPr>
          <w:color w:val="0F1115"/>
        </w:rPr>
        <w:t> </w:t>
      </w:r>
      <w:r w:rsidR="00983FC1" w:rsidRPr="00983FC1">
        <w:rPr>
          <w:color w:val="0F1115"/>
        </w:rPr>
        <w:t>-</w:t>
      </w:r>
      <w:r w:rsidRPr="00983FC1">
        <w:rPr>
          <w:color w:val="0F1115"/>
        </w:rPr>
        <w:t xml:space="preserve"> отнесение роялти (авторских отчислений) за вторичные продажи NFT к пассивным доходам, облагаемым у источника. Многие платформы (OpenSea) закладывают в смарт-контракты автоматические отчисления создателю при каждой перепродаже. Налоговые кодексы не содержат норм о том, как идентифицировать получателя таких роялти и как удержать налог, если получатель находится в другой стране</w:t>
      </w:r>
      <w:r w:rsidR="00181557" w:rsidRPr="00983FC1">
        <w:rPr>
          <w:color w:val="0F1115"/>
        </w:rPr>
        <w:t xml:space="preserve"> [</w:t>
      </w:r>
      <w:r w:rsidR="00983FC1">
        <w:rPr>
          <w:color w:val="0F1115"/>
        </w:rPr>
        <w:t>4</w:t>
      </w:r>
      <w:r w:rsidR="00181557" w:rsidRPr="00983FC1">
        <w:rPr>
          <w:color w:val="0F1115"/>
        </w:rPr>
        <w:t>].</w:t>
      </w:r>
    </w:p>
    <w:p w14:paraId="34554120" w14:textId="77777777"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Проведенный анализ позволяет сделать вывод о том, что действующее налоговое законодательство не готово к эффективному регулированию оборота криптовалют и NFT. Основными правовыми проблемами выступают: отсутствие легальной квалификации цифровых активов; невозможность применения стандартных методов оценки налоговой базы; трансграничный характер операций, исключающий классический налоговый контроль; и технологическая специфика смарт-контрактов как несубъектных инструментов.</w:t>
      </w:r>
    </w:p>
    <w:p w14:paraId="45B03D85" w14:textId="77777777" w:rsidR="00C37A9E" w:rsidRPr="00983FC1" w:rsidRDefault="00C37A9E" w:rsidP="00C37A9E">
      <w:pPr>
        <w:pStyle w:val="ds-markdown-paragraph"/>
        <w:shd w:val="clear" w:color="auto" w:fill="FFFFFF"/>
        <w:spacing w:before="0" w:beforeAutospacing="0" w:after="0" w:afterAutospacing="0"/>
        <w:ind w:firstLine="709"/>
        <w:jc w:val="both"/>
        <w:rPr>
          <w:color w:val="0F1115"/>
        </w:rPr>
      </w:pPr>
      <w:r w:rsidRPr="00983FC1">
        <w:rPr>
          <w:color w:val="0F1115"/>
        </w:rPr>
        <w:t>В качестве векторов совершенствования правового регулирования предлагается: во-первых, легальное закрепление категории «цифровой финансовый актив» как особого объекта гражданских прав с одновременной фиксацией его налогового режима (освобождение от НДС при первичном обороте); во-вторых, внедрение механизмов налогового мониторинга для операторов криптобирж с возложением на них функций налоговых агентов; в-третьих, разработка специальных правил трансфертного ценообразования для операций с NFT, учитывающих их уникальный характер. Решение перечисленных проблем является необходимым условием для интеграции цифровой экономики в правовое поле и обеспечения принципа всеобщности налогообложения.</w:t>
      </w:r>
    </w:p>
    <w:p w14:paraId="5C8D041E" w14:textId="77777777" w:rsidR="00BA0C44" w:rsidRPr="00983FC1" w:rsidRDefault="00BA0C44" w:rsidP="00BA0C44">
      <w:pPr>
        <w:pStyle w:val="ds-markdown-paragraph"/>
        <w:shd w:val="clear" w:color="auto" w:fill="FFFFFF"/>
        <w:spacing w:before="0" w:beforeAutospacing="0" w:after="0" w:afterAutospacing="0"/>
        <w:ind w:firstLine="709"/>
        <w:jc w:val="center"/>
        <w:rPr>
          <w:b/>
          <w:bCs/>
          <w:color w:val="0F1115"/>
        </w:rPr>
      </w:pPr>
    </w:p>
    <w:p w14:paraId="3A14EB77" w14:textId="08DAAE90" w:rsidR="002A356D" w:rsidRPr="00983FC1" w:rsidRDefault="00BA0C44" w:rsidP="00BA0C44">
      <w:pPr>
        <w:pStyle w:val="ds-markdown-paragraph"/>
        <w:shd w:val="clear" w:color="auto" w:fill="FFFFFF"/>
        <w:spacing w:before="0" w:beforeAutospacing="0" w:after="0" w:afterAutospacing="0"/>
        <w:ind w:firstLine="709"/>
        <w:jc w:val="center"/>
        <w:rPr>
          <w:b/>
          <w:bCs/>
          <w:color w:val="0F1115"/>
        </w:rPr>
      </w:pPr>
      <w:r w:rsidRPr="00983FC1">
        <w:rPr>
          <w:b/>
          <w:bCs/>
          <w:color w:val="0F1115"/>
        </w:rPr>
        <w:t>Список литературы</w:t>
      </w:r>
      <w:r w:rsidR="00983FC1">
        <w:rPr>
          <w:b/>
          <w:bCs/>
          <w:color w:val="0F1115"/>
        </w:rPr>
        <w:t>:</w:t>
      </w:r>
    </w:p>
    <w:p w14:paraId="33749F41" w14:textId="2E09F9D9" w:rsidR="00296D9F" w:rsidRPr="00983FC1" w:rsidRDefault="00296D9F" w:rsidP="00296D9F">
      <w:pPr>
        <w:pStyle w:val="ds-markdown-paragraph"/>
        <w:numPr>
          <w:ilvl w:val="0"/>
          <w:numId w:val="1"/>
        </w:numPr>
        <w:shd w:val="clear" w:color="auto" w:fill="FFFFFF"/>
        <w:spacing w:before="0" w:beforeAutospacing="0" w:after="0" w:afterAutospacing="0"/>
        <w:ind w:left="0"/>
        <w:jc w:val="both"/>
        <w:rPr>
          <w:color w:val="0F1115"/>
        </w:rPr>
      </w:pPr>
      <w:r w:rsidRPr="00983FC1">
        <w:rPr>
          <w:color w:val="0F1115"/>
        </w:rPr>
        <w:t xml:space="preserve">Пономарева К.А., Симонов А.О. Налогообложение операций с цифровыми финансовыми активами в контексте классических правил налогообложения // Правоприменение. 2023. Т. 7, № 4. С. 35-44 </w:t>
      </w:r>
      <w:r w:rsidR="00983FC1" w:rsidRPr="00983FC1">
        <w:rPr>
          <w:color w:val="0F1115"/>
        </w:rPr>
        <w:t>(дата обращения: 0</w:t>
      </w:r>
      <w:r w:rsidR="00983FC1" w:rsidRPr="00983FC1">
        <w:rPr>
          <w:color w:val="0F1115"/>
        </w:rPr>
        <w:t>5</w:t>
      </w:r>
      <w:r w:rsidR="00983FC1" w:rsidRPr="00983FC1">
        <w:rPr>
          <w:color w:val="0F1115"/>
        </w:rPr>
        <w:t>.04.2026).</w:t>
      </w:r>
    </w:p>
    <w:p w14:paraId="1C0E51B0" w14:textId="77777777" w:rsidR="00296D9F" w:rsidRPr="00983FC1" w:rsidRDefault="00296D9F" w:rsidP="00296D9F">
      <w:pPr>
        <w:pStyle w:val="ds-markdown-paragraph"/>
        <w:numPr>
          <w:ilvl w:val="0"/>
          <w:numId w:val="1"/>
        </w:numPr>
        <w:shd w:val="clear" w:color="auto" w:fill="FFFFFF"/>
        <w:spacing w:before="0" w:beforeAutospacing="0" w:after="0" w:afterAutospacing="0"/>
        <w:ind w:left="0"/>
        <w:jc w:val="both"/>
        <w:rPr>
          <w:color w:val="0F1115"/>
        </w:rPr>
      </w:pPr>
      <w:r w:rsidRPr="00983FC1">
        <w:rPr>
          <w:color w:val="0F1115"/>
        </w:rPr>
        <w:t>Сергеев Д.О., Костин В.Е. Цифровые активы как объект правового регулирования в Российской Федерации // Евразийский юридический журнал. 2023. № 5. С. 12-15.</w:t>
      </w:r>
    </w:p>
    <w:p w14:paraId="392E4E58" w14:textId="19D0CD5E" w:rsidR="00296D9F" w:rsidRPr="00983FC1" w:rsidRDefault="00296D9F" w:rsidP="00296D9F">
      <w:pPr>
        <w:pStyle w:val="ds-markdown-paragraph"/>
        <w:numPr>
          <w:ilvl w:val="0"/>
          <w:numId w:val="1"/>
        </w:numPr>
        <w:shd w:val="clear" w:color="auto" w:fill="FFFFFF"/>
        <w:spacing w:before="0" w:beforeAutospacing="0" w:after="0" w:afterAutospacing="0"/>
        <w:ind w:left="0"/>
        <w:jc w:val="both"/>
        <w:rPr>
          <w:color w:val="0F1115"/>
        </w:rPr>
      </w:pPr>
      <w:r w:rsidRPr="00983FC1">
        <w:rPr>
          <w:color w:val="0F1115"/>
        </w:rPr>
        <w:t xml:space="preserve">Донской О.О. NFT и их правовое регулирование в рамках Российской Федерации // Российский университет дружбы народов. 2023. URL: </w:t>
      </w:r>
      <w:hyperlink r:id="rId5" w:tgtFrame="_blank" w:history="1">
        <w:r w:rsidRPr="00983FC1">
          <w:rPr>
            <w:rStyle w:val="a5"/>
          </w:rPr>
          <w:t>https://repository.rudn.ru</w:t>
        </w:r>
      </w:hyperlink>
      <w:r w:rsidR="00983FC1" w:rsidRPr="00983FC1">
        <w:t>(дата обращения: 0</w:t>
      </w:r>
      <w:r w:rsidR="00983FC1" w:rsidRPr="00983FC1">
        <w:t>5</w:t>
      </w:r>
      <w:r w:rsidR="00983FC1" w:rsidRPr="00983FC1">
        <w:t>.04.2026).</w:t>
      </w:r>
    </w:p>
    <w:p w14:paraId="40804B81" w14:textId="7B57B8C3" w:rsidR="00296D9F" w:rsidRPr="00983FC1" w:rsidRDefault="00296D9F" w:rsidP="00296D9F">
      <w:pPr>
        <w:pStyle w:val="ds-markdown-paragraph"/>
        <w:numPr>
          <w:ilvl w:val="0"/>
          <w:numId w:val="1"/>
        </w:numPr>
        <w:shd w:val="clear" w:color="auto" w:fill="FFFFFF"/>
        <w:spacing w:before="0" w:beforeAutospacing="0" w:after="0" w:afterAutospacing="0"/>
        <w:ind w:left="0"/>
        <w:jc w:val="both"/>
        <w:rPr>
          <w:color w:val="0F1115"/>
        </w:rPr>
      </w:pPr>
      <w:r w:rsidRPr="00983FC1">
        <w:rPr>
          <w:color w:val="0F1115"/>
        </w:rPr>
        <w:t>Титоренко С.К. Правовое регулирование налогообложения доходов физических лиц по операциям с цифровыми правами (криптовалютами) // Налоги и налогообложение. 2023. № 2. С. 33-44. DOI: 10.7256/2454-065X.2023.2.40517</w:t>
      </w:r>
      <w:r w:rsidR="00983FC1" w:rsidRPr="00983FC1">
        <w:rPr>
          <w:color w:val="0F1115"/>
        </w:rPr>
        <w:t xml:space="preserve"> </w:t>
      </w:r>
      <w:r w:rsidR="00983FC1" w:rsidRPr="00983FC1">
        <w:rPr>
          <w:color w:val="0F1115"/>
        </w:rPr>
        <w:t>(дата обращения: 0</w:t>
      </w:r>
      <w:r w:rsidR="00983FC1" w:rsidRPr="00983FC1">
        <w:rPr>
          <w:color w:val="0F1115"/>
        </w:rPr>
        <w:t>5</w:t>
      </w:r>
      <w:r w:rsidR="00983FC1" w:rsidRPr="00983FC1">
        <w:rPr>
          <w:color w:val="0F1115"/>
        </w:rPr>
        <w:t>.04.2026).</w:t>
      </w:r>
    </w:p>
    <w:sectPr w:rsidR="00296D9F" w:rsidRPr="00983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97418"/>
    <w:multiLevelType w:val="multilevel"/>
    <w:tmpl w:val="2B9C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74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29"/>
    <w:rsid w:val="00051B57"/>
    <w:rsid w:val="0005392A"/>
    <w:rsid w:val="00181557"/>
    <w:rsid w:val="001B2C9E"/>
    <w:rsid w:val="00296D9F"/>
    <w:rsid w:val="002A356D"/>
    <w:rsid w:val="002E0197"/>
    <w:rsid w:val="00440C08"/>
    <w:rsid w:val="00450F05"/>
    <w:rsid w:val="004873B7"/>
    <w:rsid w:val="004B37A4"/>
    <w:rsid w:val="004D4B6A"/>
    <w:rsid w:val="00882569"/>
    <w:rsid w:val="008832C7"/>
    <w:rsid w:val="00962E77"/>
    <w:rsid w:val="00983FC1"/>
    <w:rsid w:val="00B9687A"/>
    <w:rsid w:val="00BA0C44"/>
    <w:rsid w:val="00C37A9E"/>
    <w:rsid w:val="00DD3912"/>
    <w:rsid w:val="00DD5729"/>
    <w:rsid w:val="00E0416B"/>
    <w:rsid w:val="00E5792E"/>
    <w:rsid w:val="00EC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574F"/>
  <w15:chartTrackingRefBased/>
  <w15:docId w15:val="{8ACA839A-4FA1-4C79-B49C-EE419B17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356D"/>
    <w:rPr>
      <w:b/>
      <w:bCs/>
    </w:rPr>
  </w:style>
  <w:style w:type="paragraph" w:customStyle="1" w:styleId="ds-markdown-paragraph">
    <w:name w:val="ds-markdown-paragraph"/>
    <w:basedOn w:val="a"/>
    <w:rsid w:val="00C37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37A9E"/>
    <w:rPr>
      <w:i/>
      <w:iCs/>
    </w:rPr>
  </w:style>
  <w:style w:type="character" w:styleId="a5">
    <w:name w:val="Hyperlink"/>
    <w:basedOn w:val="a0"/>
    <w:uiPriority w:val="99"/>
    <w:unhideWhenUsed/>
    <w:rsid w:val="00296D9F"/>
    <w:rPr>
      <w:color w:val="0000FF"/>
      <w:u w:val="single"/>
    </w:rPr>
  </w:style>
  <w:style w:type="character" w:styleId="a6">
    <w:name w:val="FollowedHyperlink"/>
    <w:basedOn w:val="a0"/>
    <w:uiPriority w:val="99"/>
    <w:semiHidden/>
    <w:unhideWhenUsed/>
    <w:rsid w:val="00296D9F"/>
    <w:rPr>
      <w:color w:val="954F72" w:themeColor="followedHyperlink"/>
      <w:u w:val="single"/>
    </w:rPr>
  </w:style>
  <w:style w:type="character" w:styleId="a7">
    <w:name w:val="Unresolved Mention"/>
    <w:basedOn w:val="a0"/>
    <w:uiPriority w:val="99"/>
    <w:semiHidden/>
    <w:unhideWhenUsed/>
    <w:rsid w:val="00296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013614">
      <w:bodyDiv w:val="1"/>
      <w:marLeft w:val="0"/>
      <w:marRight w:val="0"/>
      <w:marTop w:val="0"/>
      <w:marBottom w:val="0"/>
      <w:divBdr>
        <w:top w:val="none" w:sz="0" w:space="0" w:color="auto"/>
        <w:left w:val="none" w:sz="0" w:space="0" w:color="auto"/>
        <w:bottom w:val="none" w:sz="0" w:space="0" w:color="auto"/>
        <w:right w:val="none" w:sz="0" w:space="0" w:color="auto"/>
      </w:divBdr>
    </w:div>
    <w:div w:id="1588346749">
      <w:bodyDiv w:val="1"/>
      <w:marLeft w:val="0"/>
      <w:marRight w:val="0"/>
      <w:marTop w:val="0"/>
      <w:marBottom w:val="0"/>
      <w:divBdr>
        <w:top w:val="none" w:sz="0" w:space="0" w:color="auto"/>
        <w:left w:val="none" w:sz="0" w:space="0" w:color="auto"/>
        <w:bottom w:val="none" w:sz="0" w:space="0" w:color="auto"/>
        <w:right w:val="none" w:sz="0" w:space="0" w:color="auto"/>
      </w:divBdr>
    </w:div>
    <w:div w:id="20037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pository.rud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1062</Words>
  <Characters>6059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Регина Мирзоян</cp:lastModifiedBy>
  <cp:revision>41</cp:revision>
  <dcterms:created xsi:type="dcterms:W3CDTF">2026-04-10T13:08:00Z</dcterms:created>
  <dcterms:modified xsi:type="dcterms:W3CDTF">2026-04-10T15:17:00Z</dcterms:modified>
</cp:coreProperties>
</file>