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039E4D">
      <w:pPr>
        <w:keepNext w:val="0"/>
        <w:keepLines w:val="0"/>
        <w:pageBreakBefore w:val="0"/>
        <w:widowControl w:val="0"/>
        <w:tabs>
          <w:tab w:val="left" w:leader="underscore" w:pos="4687"/>
          <w:tab w:val="left" w:leader="underscore" w:pos="6966"/>
          <w:tab w:val="left" w:leader="underscore" w:pos="946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0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МЕТОДИКА ОСУЩЕСТВЛЕНИЯ ПРЕЕМСТВЕННОСТИ В ОБУЧЕНИИ МАТЕМАТИКЕ МЕЖДУ НАЧАЛЬНОЙ И СРЕДНЕЙ ШКОЛОЙ</w:t>
      </w:r>
    </w:p>
    <w:p w14:paraId="65A49139">
      <w:pPr>
        <w:keepNext w:val="0"/>
        <w:keepLines w:val="0"/>
        <w:pageBreakBefore w:val="0"/>
        <w:widowControl w:val="0"/>
        <w:tabs>
          <w:tab w:val="left" w:leader="underscore" w:pos="4687"/>
          <w:tab w:val="left" w:leader="underscore" w:pos="6966"/>
          <w:tab w:val="left" w:leader="underscore" w:pos="946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00" w:lineRule="auto"/>
        <w:jc w:val="right"/>
        <w:textAlignment w:val="auto"/>
        <w:rPr>
          <w:rFonts w:hint="default"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Протченко Е.В. </w:t>
      </w: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  <w:t>Адыгейский государственный университет, г.Майкоп</w:t>
      </w:r>
    </w:p>
    <w:p w14:paraId="03273C1B">
      <w:pPr>
        <w:keepNext w:val="0"/>
        <w:keepLines w:val="0"/>
        <w:pageBreakBefore w:val="0"/>
        <w:widowControl w:val="0"/>
        <w:tabs>
          <w:tab w:val="left" w:leader="underscore" w:pos="4687"/>
          <w:tab w:val="left" w:leader="underscore" w:pos="6966"/>
          <w:tab w:val="left" w:leader="underscore" w:pos="946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00" w:lineRule="auto"/>
        <w:jc w:val="right"/>
        <w:textAlignment w:val="auto"/>
        <w:rPr>
          <w:rFonts w:hint="default"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  <w:t>Научный руководитель: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Евтыхова Н.М.,</w:t>
      </w: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к.п.н., доцент </w:t>
      </w:r>
    </w:p>
    <w:p w14:paraId="405CA188">
      <w:pPr>
        <w:keepNext w:val="0"/>
        <w:keepLines w:val="0"/>
        <w:pageBreakBefore w:val="0"/>
        <w:widowControl w:val="0"/>
        <w:tabs>
          <w:tab w:val="left" w:leader="underscore" w:pos="4687"/>
          <w:tab w:val="left" w:leader="underscore" w:pos="6966"/>
          <w:tab w:val="left" w:leader="underscore" w:pos="946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00" w:lineRule="auto"/>
        <w:jc w:val="right"/>
        <w:textAlignment w:val="auto"/>
        <w:rPr>
          <w:rFonts w:hint="default"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  <w:t>кафедры предметной и профессиональной подготовки педагога</w:t>
      </w: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14:paraId="592B9FEE">
      <w:pPr>
        <w:keepNext w:val="0"/>
        <w:keepLines w:val="0"/>
        <w:pageBreakBefore w:val="0"/>
        <w:widowControl w:val="0"/>
        <w:tabs>
          <w:tab w:val="left" w:leader="underscore" w:pos="4687"/>
          <w:tab w:val="left" w:leader="underscore" w:pos="6966"/>
          <w:tab w:val="left" w:leader="underscore" w:pos="946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00" w:lineRule="auto"/>
        <w:jc w:val="right"/>
        <w:textAlignment w:val="auto"/>
        <w:rPr>
          <w:rFonts w:hint="default"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  <w:t>ФГОУ ВО «Адыгейский государственный университет», г.Майкоп</w:t>
      </w:r>
    </w:p>
    <w:p w14:paraId="33B85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Переход из младшей школы в среднюю справедливо рассматривается как переломный момент в жизни ребенка. Осуществляется смена привычного образа жизни, условий деятельности, социальной позиции, характера взаимоотношений со взрослыми и сверстниками. Пятый класс представляет собой трудный и ответственный этап: учебная и социальная ситуация требует от школьника решения задач качественно нового уровня по сравнению с начальной школой. Успешность адаптации на данном этапе, как показывает практика, во многом определяет всю дальнейшую образовательную траекторию ученика. В этих условиях особую актуальность приобретает проблема преемственности в обучении, и в частности – в обучении математике.</w:t>
      </w:r>
    </w:p>
    <w:p w14:paraId="551B8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Как справедливо отмечает А.К. Мендыгалиева, «обучение математике в школе – сложный, многоуровневый, но в то же время единый процесс, состоящий из целого ряда этапов. Эффективность усвоения предмета учащимися в значительной степени зависит от условий, которые позволяют осуществить тесную, органичную внутреннюю связь между этими этапами» [7]. В связи с этим реализация принципа преемственности становится обязательной составляющей успешного обучения.</w:t>
      </w:r>
    </w:p>
    <w:p w14:paraId="30F8D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науке сложились пять основных подходов к рассмотрению явления преемственности: философский, социокультурный, социологический, психологический и педагогический. Проблемы преемственности математического образования разрабатывались ведущими учеными-методистами (И.Н. Антипов, И.И. Баврин, Н.Я. Виленкин, В.А. Гусев, Ю.М. Колягин, А.Г. Мордкович, А.М. Пышкало, Н.Ф. Талызина и др.), а общедидактические аспекты представлены в трудах Б.Г. Ананьева, Ю.К. Бабанского, Ш.И. Ганелина и других исследователей.</w:t>
      </w:r>
    </w:p>
    <w:p w14:paraId="7B34A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педагогической литературе существуют различные дефиниции понятия «преемственность в обучении». Так, в «Педагогическом энциклопедическом словаре» под преемственностью понимается установление необходимой связи и правильного соотношения между частями учебного предмета на разных ступенях его изучения, при этом особые трудности возникают именно на стыке начальной и средней школы [2]. Ш.И. Ганелин акцентирует внимание на внутренних взаимосвязях усваиваемых знаний в сознании учащихся, их систематизации и применении в разнообразных условиях [4]. А.К. Мендыгалиева трактует преемственность как процесс, обеспечивающий непрерывное и результативное осуществление учебной деятельности, совершенствование и систематизацию знаний, умений и навыков, а также психическое развитие учащихся [7].</w:t>
      </w:r>
    </w:p>
    <w:p w14:paraId="41AB1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Принято выделять две формы преемственности: вертикальную (при смене уровней образования) и горизонтальную (в рамках одного относительно неизменного уровня) [5]. В «Национальной доктрине образования в Российской Федерации» подчеркивается, что сохранение и развитие единого образовательного пространства, обеспечение преемственности всех ступеней образования являются важнейшими задачами, от решения которых зависит реализация потенциала всей системы образования [8].</w:t>
      </w:r>
    </w:p>
    <w:p w14:paraId="2C3CB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Одним из существенных затруднений при реализации преемственности выступает разнообразие учебников математики в начальной школе и в 5-х классах. Федеральный перечень на 2025–2026 учебный год допускает около 9 учебных комплектов по математике для начальной школы, тогда как для 5-го класса рекомендованы лишь два основных линии (Н.Я. Виленкин и др., а также учебник Л.Г. Петерсон как продолжение единой линии). Тем не менее, в соответствии с ФГОС НОО, независимо от используемого УМК, к окончанию 4-го класса должны быть обеспечены следующие предметные результаты: сформированность системы знаний о числе и десятичном принципе записи чисел; прочные вычислительные навыки; развитие пространственного и логического мышления; овладение элементами математической речи; опыт работы с информацией в табличной и графической форме; умение применять математические знания в повседневных ситуациях [9].</w:t>
      </w:r>
    </w:p>
    <w:p w14:paraId="291EF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Кроме того, к концу четвертого класса у учащегося должен быть сформирован индивидуальный стиль учебной деятельности – «умение учиться» [3]. Задача средней школы – развить и адаптировать это умение к новым условиям. Методика должна быть направлена на преемственное формирование универсальных учебных действий (УУД):</w:t>
      </w:r>
    </w:p>
    <w:p w14:paraId="5A2E7AF4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познавательные: переход от типовых арифметических задач к комбинаторным, логическим и алгебраическим, требующим выдвижения гипотез;</w:t>
      </w:r>
    </w:p>
    <w:p w14:paraId="2447FEB0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регулятивные: обучение планированию работы в условиях роста объема домашних заданий и вариативности требований учителей, формирование навыков самоконтроля и коррекции ошибок;</w:t>
      </w:r>
    </w:p>
    <w:p w14:paraId="628A8C36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коммуникативные: организация групповой работы, постановка задач, требующих математической дискуссии и аргументации;</w:t>
      </w:r>
    </w:p>
    <w:p w14:paraId="318A7622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личностные: формирование положительной мотивации через демонстрацию практической значимости математики и ее межпредметных связей.</w:t>
      </w:r>
    </w:p>
    <w:p w14:paraId="19320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А.К. Мендыгалиева выделяет три аспекта проблемы преемственности в обучении математике [6]. Первый аспект касается необходимости обеспечения последовательности и систематичности внутри самого курса начальной математики: изучение каждой темы должно явно опираться на ранее усвоенный материал. Второй аспект связан с обеспечением преемственности между начальным и основным звеном: изучение математики в I–VI классах следует рассматривать как единый курс, подготавливающий к систематическим курсам алгебры и геометрии. Третий аспект заключается в формировании у младших школьников желания и умения учиться, развитии теоретического мышления, без чего невозможны учебные успехи на последующих этапах.</w:t>
      </w:r>
    </w:p>
    <w:p w14:paraId="53531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Обобщая сказанное, А.К. Мендыгалиева определяет преемственность в обучении математике в начальной и основной школе как «педагогический процесс, который раскрывает связь между данными ступенями образования, сохранение тех или иных элементов целого как системы; способствует получению образовательного результата в виде интеграции личностной мотивации, качества математической подготовки, универсальных учебных действий, обеспечивающих готовность ученика к успешному овладению математикой на следующей ступени обучения» [6].</w:t>
      </w:r>
    </w:p>
    <w:p w14:paraId="5D925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Таким образом, осуществление преемственности при переходе из начальной в среднюю школу представляет собой комплексную, многоуровневую задачу, решение которой лежит в организационной, содержательной и психолого-педагогической плоскостях.  Системная работа, основанная на тесном взаимодействии учителей начального и среднего звена, позволяет не только предотвратить кризис успеваемости по математике в 5-м классе, но и заложить прочный фундамент для дальнейшего успешного изучения этой науки, способствуя познавательному и личностному развитию каждого ребенка.</w:t>
      </w:r>
    </w:p>
    <w:p w14:paraId="730F1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Список литературы:</w:t>
      </w:r>
      <w:bookmarkStart w:id="0" w:name="_GoBack"/>
      <w:bookmarkEnd w:id="0"/>
    </w:p>
    <w:p w14:paraId="63F33C9C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Батаршев, А.В. Педагогическая система преемственности обучения... – СПб., 1996. – 90 с.</w:t>
      </w:r>
    </w:p>
    <w:p w14:paraId="7DD7615A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Бим-Бад, Б.М. Педагогический энциклопедический словарь. – М., 2002. – С. 213. URL: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instrText xml:space="preserve"> HYPERLINK "https://gufo.me/dict/pedagogy_terms" \t "https://chat.deepseek.com/a/chat/s/_blank" 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https://gufo.me/dict/pedagogy_terms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</w:p>
    <w:p w14:paraId="5CFC1795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Борисова, Л.Г. Педагогические условия формирования стиля учебной деятельности школьника. – Калининград, 2001. – 215 с.</w:t>
      </w:r>
    </w:p>
    <w:p w14:paraId="10EF3AA7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Ганелин, Ш.И. О преемственности и межпредметных связях // Преемственность в обучении... – М., 1961. – С. 5-24.</w:t>
      </w:r>
    </w:p>
    <w:p w14:paraId="061C6931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Коротаева Е.В. Педагогические взаимодействия и технологии. – М.: Академия, 2007. – 256 с.</w:t>
      </w:r>
    </w:p>
    <w:p w14:paraId="47C1AD41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Мендыгалиева, А.К. Осуществление преемственности в обучении математике... // Фундаментальные исследования. – 2013. – № 10-9. – С. 2064-2067. URL: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instrText xml:space="preserve"> HYPERLINK "https://fundamental-research.ru/ru/article/view?id=32589" \t "https://chat.deepseek.com/a/chat/s/_blank" 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https://fundamental-research.ru/ru/article/view?id=32589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</w:p>
    <w:p w14:paraId="471303B2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Мендыгалиева, А.К. Методические основы преемственности в обучении математике. URL: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instrText xml:space="preserve"> HYPERLINK "https://cyberleninka.ru/article/n/metodicheskie-osnovy-preemstvennosti-v-obuchenii-matematike" \t "https://chat.deepseek.com/a/chat/s/_blank" 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https://cyberleninka.ru/article/n/metodicheskie-osnovy-preemstvennosti-v-obuchenii-matematike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</w:p>
    <w:p w14:paraId="141F0C52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Национальная доктрина образования в Российской Федерации. URL: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instrText xml:space="preserve"> HYPERLINK "https://gart62.npi-tu.ru/assets/files/123/1.%20%D0%9D%D0%B0%D1%86%D0%B8%D0%BE%D0%BD%D0%B0%D0%BB%D1%8C%D0%BD%D0%B0%D1%8F%20%D0%B4%D0%BE%D0%BA%D1%82%D1%80%D0%B8%D0%BD%D0%B0%20%D0%BE%D0%B1%D1%80%D0%B0%D0%B7%D0%BE%D0%B2%D0%B0%D0%BD%D0%B8%D1%8F%20%D0%A0%D0%BE%D1%81%D1%81%D0%B8%D0%B9%D1%81%D0%BA%D0%BE%D0%B9%20%D0%A4%D0%B5%D0%B4%D0%B5%D1%80%D0%B0%D1%86%D0%B8%D0%B8%20%D0%B4%D0%BE%202025%20%D0%B3%D0%BE%D0%B4%D0%B0.pdf" \t "https://chat.deepseek.com/a/chat/s/_blank" 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https://gart62.npi-tu.ru/assets/files/123/1.%20Национальная%20доктрина%20образования%20Российской%20Федерации%20до%202025%20года.pdf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</w:p>
    <w:p w14:paraId="0B46F07F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Приказ Минпросвещения РФ от 31 мая 2021 г. N 286 (ред. от 18.06.2025, 04.08.2025) «Об утверждении ФГОС НОО». URL: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instrText xml:space="preserve"> HYPERLINK "https://sh-uuis-irkutsk-r138.gosuslugi.ru/netcat_files/33/46/FGOS_nachal_nogo_obschego_obrazovaniya_prikaz_Minprosvescheniya_Rossii_ot_31.05.2021_286_.pdf" \t "https://chat.deepseek.com/a/chat/s/_blank" 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https://sh-uuis-irkutsk-r138.gosuslugi.ru/netcat_files/33/46/FGOS_nachal_nogo_obschego_obrazovaniya_prikaz_Minprosvescheniya_Rossii_ot_31.05.2021_286_.pdf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</w:p>
    <w:p w14:paraId="69895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13C5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38ABD6D">
      <w:pPr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9A147"/>
    <w:multiLevelType w:val="singleLevel"/>
    <w:tmpl w:val="A729A14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460C7923"/>
    <w:multiLevelType w:val="singleLevel"/>
    <w:tmpl w:val="460C792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0CD0DD9"/>
    <w:rsid w:val="3D2E204C"/>
    <w:rsid w:val="3E5208F0"/>
    <w:rsid w:val="666B53E9"/>
    <w:rsid w:val="7699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300" w:firstLineChars="15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51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2025-11-01T12:47:00Z</dcterms:created>
  <dc:creator>Bani Boop</dc:creator>
  <cp:lastModifiedBy>Bani Boop</cp:lastModifiedBy>
  <dcterms:modified xsi:type="dcterms:W3CDTF">2026-04-09T11:50:26Z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310B3F7C2A084B999C7EB2DF6C8ECBFD_12</vt:lpwstr>
  </property>
</Properties>
</file>