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7"/>
        <w:ind w:left="0" w:right="0" w:firstLine="0"/>
        <w:jc w:val="center"/>
        <w:spacing w:before="0" w:after="0" w:line="360" w:lineRule="auto"/>
        <w:shd w:val="clear" w:color="ffffff" w:fill="ffffff"/>
        <w:rPr>
          <w:rFonts w:ascii="Times New Roman" w:hAnsi="Times New Roman" w:cs="Times New Roman"/>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b2d31"/>
          <w:sz w:val="28"/>
          <w:szCs w:val="28"/>
        </w:rPr>
        <w:t xml:space="preserve">Тезисы для выступления Стеблянской Э.А. на конференцию по теме «</w:t>
      </w:r>
      <w:r>
        <w:rPr>
          <w:rFonts w:ascii="Times New Roman" w:hAnsi="Times New Roman" w:eastAsia="Times New Roman" w:cs="Times New Roman"/>
          <w:b/>
          <w:color w:val="2b2d31"/>
          <w:sz w:val="28"/>
          <w:szCs w:val="28"/>
        </w:rPr>
        <w:t xml:space="preserve">Северный Кавказ глазами иностранцев: источниковедческое исследование нарративов   ХIX века</w:t>
      </w:r>
      <w:r>
        <w:rPr>
          <w:rFonts w:ascii="Times New Roman" w:hAnsi="Times New Roman" w:eastAsia="Times New Roman" w:cs="Times New Roman"/>
          <w:b/>
          <w:color w:val="2b2d31"/>
          <w:sz w:val="28"/>
          <w:szCs w:val="28"/>
        </w:rPr>
        <w:t xml:space="preserve">»</w:t>
      </w:r>
      <w:r>
        <w:rPr>
          <w:rFonts w:ascii="Times New Roman" w:hAnsi="Times New Roman" w:eastAsia="Times New Roman" w:cs="Times New Roman"/>
          <w:sz w:val="28"/>
          <w:szCs w:val="28"/>
        </w:rPr>
      </w:r>
    </w:p>
    <w:p>
      <w:pPr>
        <w:contextualSpacing w:val="0"/>
        <w:ind w:left="0" w:right="0" w:firstLine="709"/>
        <w:jc w:val="both"/>
        <w:spacing w:after="0" w:afterAutospacing="0" w:line="360" w:lineRule="auto"/>
        <w:shd w:val="clear" w:color="ffffff" w:fill="ffffff"/>
        <w:rPr>
          <w:rFonts w:ascii="Times New Roman" w:hAnsi="Times New Roman" w:eastAsia="Times New Roman" w:cs="Times New Roman"/>
          <w:color w:val="2b2d31"/>
          <w:sz w:val="28"/>
          <w:szCs w:val="28"/>
          <w14:ligatures w14: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r>
      <w:r>
        <w:rPr>
          <w:rFonts w:ascii="Times New Roman" w:hAnsi="Times New Roman" w:eastAsia="Times New Roman" w:cs="Times New Roman"/>
          <w:b/>
          <w:bCs/>
          <w:color w:val="2b2d31"/>
          <w:sz w:val="28"/>
          <w:szCs w:val="28"/>
        </w:rPr>
        <w:t xml:space="preserve">Актуальность темы</w:t>
      </w:r>
      <w:r>
        <w:rPr>
          <w:rFonts w:ascii="Times New Roman" w:hAnsi="Times New Roman" w:eastAsia="Times New Roman" w:cs="Times New Roman"/>
          <w:color w:val="2b2d31"/>
          <w:sz w:val="28"/>
          <w:szCs w:val="28"/>
        </w:rPr>
        <w:t xml:space="preserve"> исследования</w:t>
      </w:r>
      <w:r>
        <w:rPr>
          <w:rFonts w:ascii="Times New Roman" w:hAnsi="Times New Roman" w:eastAsia="Times New Roman" w:cs="Times New Roman"/>
          <w:color w:val="2b2d31"/>
          <w:sz w:val="28"/>
          <w:szCs w:val="28"/>
        </w:rPr>
        <w:t xml:space="preserve"> обусловлена необходимостью комплексного переосмысления истории Северного Кавказа XIX века через призму «взгляда Другого». В современный период, когда регион остается зоной повышенного внимания мировой общественности, обращение к истокам формирования предс</w:t>
      </w:r>
      <w:r>
        <w:rPr>
          <w:rFonts w:ascii="Times New Roman" w:hAnsi="Times New Roman" w:eastAsia="Times New Roman" w:cs="Times New Roman"/>
          <w:color w:val="2b2d31"/>
          <w:sz w:val="28"/>
          <w:szCs w:val="28"/>
        </w:rPr>
        <w:t xml:space="preserve">тавлений о нем в европейском сознании приобретает особую значимость.</w:t>
      </w:r>
      <w:r>
        <w:rPr>
          <w:rFonts w:ascii="Times New Roman" w:hAnsi="Times New Roman" w:eastAsia="Times New Roman" w:cs="Times New Roman"/>
          <w:color w:val="2b2d31"/>
          <w:sz w:val="28"/>
          <w:szCs w:val="28"/>
        </w:rPr>
      </w:r>
      <w:r>
        <w:rPr>
          <w:rFonts w:ascii="Times New Roman" w:hAnsi="Times New Roman" w:eastAsia="Times New Roman" w:cs="Times New Roman"/>
          <w:color w:val="2b2d31"/>
          <w:sz w:val="28"/>
          <w:szCs w:val="28"/>
        </w:rPr>
      </w:r>
    </w:p>
    <w:p>
      <w:pPr>
        <w:contextualSpacing w:val="0"/>
        <w:ind w:left="0" w:right="0" w:firstLine="709"/>
        <w:jc w:val="both"/>
        <w:spacing w:after="0" w:afterAutospacing="0" w:line="360" w:lineRule="auto"/>
        <w:shd w:val="clear" w:color="ffffff" w:fill="ffffff"/>
        <w:rPr>
          <w:rFonts w:ascii="Times New Roman" w:hAnsi="Times New Roman" w:eastAsia="Times New Roman" w:cs="Times New Roman"/>
          <w:color w:val="2b2d31"/>
          <w:sz w:val="28"/>
          <w:szCs w:val="28"/>
          <w14:ligatures w14: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r>
      <w:r>
        <w:rPr>
          <w:rFonts w:ascii="Times New Roman" w:hAnsi="Times New Roman" w:eastAsia="Times New Roman" w:cs="Times New Roman"/>
          <w:color w:val="2b2d31"/>
          <w:sz w:val="28"/>
          <w:szCs w:val="28"/>
        </w:rPr>
        <w:t xml:space="preserve">XIX век на Кавказе был не только временем внутреннего имперского строительства России, но и эпохой острейшего международного соперничества, известного как «Большая игра». Кавказ выступал ключевым узлом противоречий между Российской империей, Великобритание</w:t>
      </w:r>
      <w:r>
        <w:rPr>
          <w:rFonts w:ascii="Times New Roman" w:hAnsi="Times New Roman" w:eastAsia="Times New Roman" w:cs="Times New Roman"/>
          <w:color w:val="2b2d31"/>
          <w:sz w:val="28"/>
          <w:szCs w:val="28"/>
        </w:rPr>
        <w:t xml:space="preserve">й, Францией и ближневосточными монархиями. Иностранные визитеры — дипломаты, военные агенты и разведчики (такие как Э. Спенсер, Дж. Белл, Т. Лапинский) — были не просто наблюдателями, но и активными участниками политических процессов. Изучение их нарративо</w:t>
      </w:r>
      <w:r>
        <w:rPr>
          <w:rFonts w:ascii="Times New Roman" w:hAnsi="Times New Roman" w:eastAsia="Times New Roman" w:cs="Times New Roman"/>
          <w:color w:val="2b2d31"/>
          <w:sz w:val="28"/>
          <w:szCs w:val="28"/>
        </w:rPr>
        <w:t xml:space="preserve">в позволяет реконструировать внешнеполитический контекст Кавказской войны и понять, как информация о регионе использовалась в качестве инструмента идеологического противостояния великих держав.</w:t>
      </w:r>
      <w:r>
        <w:rPr>
          <w:rFonts w:ascii="Times New Roman" w:hAnsi="Times New Roman" w:eastAsia="Times New Roman" w:cs="Times New Roman"/>
          <w:color w:val="2b2d31"/>
          <w:sz w:val="28"/>
          <w:szCs w:val="28"/>
        </w:rPr>
      </w:r>
      <w:r>
        <w:rPr>
          <w:rFonts w:ascii="Times New Roman" w:hAnsi="Times New Roman" w:eastAsia="Times New Roman" w:cs="Times New Roman"/>
          <w:color w:val="2b2d31"/>
          <w:sz w:val="28"/>
          <w:szCs w:val="28"/>
        </w:rPr>
      </w:r>
    </w:p>
    <w:p>
      <w:pPr>
        <w:contextualSpacing w:val="0"/>
        <w:ind w:left="0" w:right="0" w:firstLine="709"/>
        <w:jc w:val="both"/>
        <w:spacing w:after="0" w:afterAutospacing="0" w:line="360" w:lineRule="auto"/>
        <w:shd w:val="clear" w:color="ffffff" w:fill="ffffff"/>
        <w:rPr>
          <w:rFonts w:ascii="Times New Roman" w:hAnsi="Times New Roman" w:eastAsia="Times New Roman" w:cs="Times New Roman"/>
          <w:color w:val="2b2d31"/>
          <w:sz w:val="28"/>
          <w:szCs w:val="28"/>
          <w14:ligatures w14: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r>
      <w:r>
        <w:rPr>
          <w:rFonts w:ascii="Times New Roman" w:hAnsi="Times New Roman" w:eastAsia="Times New Roman" w:cs="Times New Roman"/>
          <w:color w:val="2b2d31"/>
          <w:sz w:val="28"/>
          <w:szCs w:val="28"/>
        </w:rPr>
        <w:t xml:space="preserve">Официальная российская документация того времени (рапорты, приказы, донесения), при всей своей ценности, зачастую была ограничена рамками бюрократического языка и цензурными требованиями. Иностранные же нарративы (дневники, путевые заметки, письма) обладаю</w:t>
      </w:r>
      <w:r>
        <w:rPr>
          <w:rFonts w:ascii="Times New Roman" w:hAnsi="Times New Roman" w:eastAsia="Times New Roman" w:cs="Times New Roman"/>
          <w:color w:val="2b2d31"/>
          <w:sz w:val="28"/>
          <w:szCs w:val="28"/>
        </w:rPr>
        <w:t xml:space="preserve">т специфической «оптикой». Будучи представителями иной культурной и правовой традиции, иностранцы фиксировали детали повседневного быта, обычного права (адатов), религиозных практик и ментальности горцев, которые для российских современников казались обыде</w:t>
      </w:r>
      <w:r>
        <w:rPr>
          <w:rFonts w:ascii="Times New Roman" w:hAnsi="Times New Roman" w:eastAsia="Times New Roman" w:cs="Times New Roman"/>
          <w:color w:val="2b2d31"/>
          <w:sz w:val="28"/>
          <w:szCs w:val="28"/>
        </w:rPr>
        <w:t xml:space="preserve">нными и не заслуживающими описания. Таким образом, критический анализ иностранных источников позволяет восполнить существенные лакуны в этнографическом и социокультурном знании о народах Кавказа.</w:t>
      </w:r>
      <w:r>
        <w:rPr>
          <w:rFonts w:ascii="Times New Roman" w:hAnsi="Times New Roman" w:eastAsia="Times New Roman" w:cs="Times New Roman"/>
          <w:color w:val="2b2d31"/>
          <w:sz w:val="28"/>
          <w:szCs w:val="28"/>
        </w:rPr>
      </w:r>
      <w:r>
        <w:rPr>
          <w:rFonts w:ascii="Times New Roman" w:hAnsi="Times New Roman" w:eastAsia="Times New Roman" w:cs="Times New Roman"/>
          <w:color w:val="2b2d31"/>
          <w:sz w:val="28"/>
          <w:szCs w:val="28"/>
        </w:rPr>
      </w:r>
    </w:p>
    <w:p>
      <w:pPr>
        <w:contextualSpacing w:val="0"/>
        <w:ind w:left="0" w:right="0" w:firstLine="709"/>
        <w:jc w:val="both"/>
        <w:spacing w:after="0" w:afterAutospacing="0" w:line="360" w:lineRule="auto"/>
        <w:shd w:val="clear" w:color="ffffff" w:fill="ffffff"/>
        <w:rPr>
          <w:rFonts w:ascii="Times New Roman" w:hAnsi="Times New Roman" w:eastAsia="Times New Roman" w:cs="Times New Roman"/>
          <w:color w:val="2b2d31"/>
          <w:sz w:val="28"/>
          <w:szCs w:val="28"/>
          <w14:ligatures w14: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Актуальность работы тесно связана с задачами современной имагологии — дисциплины, изучающей механизмы формирования образа «Чужого». Именно в XIX веке в европейской литературе и публицистике закладывались те устойчивые стереотипы о Кавказе, которые продолжа</w:t>
      </w:r>
      <w:r>
        <w:rPr>
          <w:rFonts w:ascii="Times New Roman" w:hAnsi="Times New Roman" w:eastAsia="Times New Roman" w:cs="Times New Roman"/>
          <w:color w:val="2b2d31"/>
          <w:sz w:val="28"/>
          <w:szCs w:val="28"/>
        </w:rPr>
        <w:t xml:space="preserve">ют транслироваться в западном дискурсе и сегодня. Деконструкция мифологем о «благородном дикаре», «необузданном фанатике» или «жертве имперского деспотизма» необходима для объективного понимания истории региона, свободного от идеологических наслоений прошл</w:t>
      </w:r>
      <w:r>
        <w:rPr>
          <w:rFonts w:ascii="Times New Roman" w:hAnsi="Times New Roman" w:eastAsia="Times New Roman" w:cs="Times New Roman"/>
          <w:color w:val="2b2d31"/>
          <w:sz w:val="28"/>
          <w:szCs w:val="28"/>
        </w:rPr>
        <w:t xml:space="preserve">ого.</w:t>
      </w:r>
      <w:r>
        <w:rPr>
          <w:rFonts w:ascii="Times New Roman" w:hAnsi="Times New Roman" w:eastAsia="Times New Roman" w:cs="Times New Roman"/>
          <w:color w:val="2b2d31"/>
          <w:sz w:val="28"/>
          <w:szCs w:val="28"/>
        </w:rPr>
      </w:r>
    </w:p>
    <w:p>
      <w:pPr>
        <w:contextualSpacing w:val="0"/>
        <w:ind w:left="0" w:right="0" w:firstLine="709"/>
        <w:jc w:val="both"/>
        <w:spacing w:after="0" w:afterAutospacing="0" w:line="360" w:lineRule="auto"/>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2b2d31"/>
          <w:sz w:val="28"/>
          <w:szCs w:val="28"/>
        </w:rPr>
        <w:t xml:space="preserve">Объектом исследования</w:t>
      </w:r>
      <w:r>
        <w:rPr>
          <w:rFonts w:ascii="Times New Roman" w:hAnsi="Times New Roman" w:eastAsia="Times New Roman" w:cs="Times New Roman"/>
          <w:color w:val="2b2d31"/>
          <w:sz w:val="28"/>
          <w:szCs w:val="28"/>
        </w:rPr>
        <w:t xml:space="preserve"> являются нарративные источники иностранного происхождения (записки, дневники, мемуары, путевые заметки), посвященные Северному Кавказу в XIX веке.</w:t>
      </w:r>
      <w:r>
        <w:rPr>
          <w:rFonts w:ascii="Times New Roman" w:hAnsi="Times New Roman" w:eastAsia="Times New Roman" w:cs="Times New Roman"/>
          <w:sz w:val="28"/>
          <w:szCs w:val="28"/>
        </w:rPr>
      </w:r>
    </w:p>
    <w:p>
      <w:pPr>
        <w:contextualSpacing w:val="0"/>
        <w:ind w:left="0" w:right="0" w:firstLine="709"/>
        <w:jc w:val="both"/>
        <w:spacing w:after="0" w:afterAutospacing="0" w:line="360" w:lineRule="auto"/>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2b2d31"/>
          <w:sz w:val="28"/>
          <w:szCs w:val="28"/>
        </w:rPr>
        <w:t xml:space="preserve">Предметом исследования</w:t>
      </w:r>
      <w:r>
        <w:rPr>
          <w:rFonts w:ascii="Times New Roman" w:hAnsi="Times New Roman" w:eastAsia="Times New Roman" w:cs="Times New Roman"/>
          <w:color w:val="2b2d31"/>
          <w:sz w:val="28"/>
          <w:szCs w:val="28"/>
        </w:rPr>
        <w:t xml:space="preserve"> выступает информационный потенциал данных текстов, специфика репрезентации образа региона и его народов, а также степень достоверности и ангажированности иностранных авторов.</w:t>
      </w:r>
      <w:r>
        <w:rPr>
          <w:rFonts w:ascii="Times New Roman" w:hAnsi="Times New Roman" w:eastAsia="Times New Roman" w:cs="Times New Roman"/>
          <w:sz w:val="28"/>
          <w:szCs w:val="28"/>
        </w:rPr>
      </w:r>
    </w:p>
    <w:p>
      <w:pPr>
        <w:contextualSpacing w:val="0"/>
        <w:ind w:left="0" w:right="0" w:firstLine="709"/>
        <w:jc w:val="both"/>
        <w:spacing w:after="0" w:afterAutospacing="0" w:line="360" w:lineRule="auto"/>
        <w:shd w:val="clear" w:color="ffffff" w:fill="ffffff"/>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2b2d31"/>
          <w:sz w:val="28"/>
          <w:szCs w:val="28"/>
        </w:rPr>
        <w:t xml:space="preserve">Степень изученности темы</w:t>
      </w:r>
      <w:r>
        <w:rPr>
          <w:rFonts w:ascii="Times New Roman" w:hAnsi="Times New Roman" w:eastAsia="Times New Roman" w:cs="Times New Roman"/>
          <w:color w:val="2b2d31"/>
          <w:sz w:val="28"/>
          <w:szCs w:val="28"/>
        </w:rPr>
      </w:r>
      <w:r>
        <w:rPr>
          <w:rFonts w:ascii="Times New Roman" w:hAnsi="Times New Roman" w:eastAsia="Times New Roman" w:cs="Times New Roman"/>
          <w:color w:val="2b2d31"/>
          <w:sz w:val="28"/>
          <w:szCs w:val="28"/>
        </w:rPr>
        <w:t xml:space="preserve"> обусловлена устойчивым интересом отечественной и зарубежной науки к проблеме восприятия Кавказа в европейском интеллектуальном и политическом пространстве. Накопленную историографию можно разделить на три основных этапа: дореволюцио</w:t>
      </w:r>
      <w:r>
        <w:rPr>
          <w:rFonts w:ascii="Times New Roman" w:hAnsi="Times New Roman" w:eastAsia="Times New Roman" w:cs="Times New Roman"/>
          <w:color w:val="2b2d31"/>
          <w:sz w:val="28"/>
          <w:szCs w:val="28"/>
        </w:rPr>
        <w:t xml:space="preserve">нный, советский и современный.</w:t>
      </w:r>
      <w:r/>
    </w:p>
    <w:p>
      <w:pPr>
        <w:contextualSpacing w:val="0"/>
        <w:ind w:left="0" w:right="0" w:firstLine="709"/>
        <w:jc w:val="both"/>
        <w:spacing w:after="0" w:afterAutospacing="0" w:line="360" w:lineRule="auto"/>
        <w:shd w:val="clear" w:color="ffffff" w:fill="ffffff"/>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Первый этап (XIX – начало XX вв.) характеризуется началом процесса накопления и первичной публикации иностранных свидетельств. В этот период записки иностранцев рассматривались преимущественно как информационные поводы для политической полемики. В журналах </w:t>
      </w:r>
      <w:r>
        <w:rPr>
          <w:rFonts w:ascii="Times New Roman" w:hAnsi="Times New Roman" w:eastAsia="Times New Roman" w:cs="Times New Roman"/>
          <w:color w:val="2b2d31"/>
          <w:sz w:val="28"/>
          <w:szCs w:val="28"/>
        </w:rPr>
        <w:t xml:space="preserve">«Вестник Европы», «Отечественные записки», «Русский вестник» публиковались переводы фрагментов трудов Э. Спенсера, Дж. Белла, М. Вагнера. Для этого этапа характерен фрагментарный подход: иностранные нарративы использовались либо для подтверждения успехов ро</w:t>
      </w:r>
      <w:r>
        <w:rPr>
          <w:rFonts w:ascii="Times New Roman" w:hAnsi="Times New Roman" w:eastAsia="Times New Roman" w:cs="Times New Roman"/>
          <w:color w:val="2b2d31"/>
          <w:sz w:val="28"/>
          <w:szCs w:val="28"/>
        </w:rPr>
        <w:t xml:space="preserve">ссийской политики, либо для критики «искаженного взгляда» западных авторов. Первые попытки систематизации этих сведений предпринимались в работах таких кавказоведов, как А. П. Берже, который в рамках деятельности Кавказской археографической комиссии вводил </w:t>
      </w:r>
      <w:r>
        <w:rPr>
          <w:rFonts w:ascii="Times New Roman" w:hAnsi="Times New Roman" w:eastAsia="Times New Roman" w:cs="Times New Roman"/>
          <w:color w:val="2b2d31"/>
          <w:sz w:val="28"/>
          <w:szCs w:val="28"/>
        </w:rPr>
        <w:t xml:space="preserve">в научный оборот сведения из иностранных архивов и частных коллекций.</w:t>
      </w:r>
      <w:r/>
    </w:p>
    <w:p>
      <w:pPr>
        <w:contextualSpacing w:val="0"/>
        <w:ind w:left="0" w:right="0" w:firstLine="709"/>
        <w:jc w:val="both"/>
        <w:spacing w:after="0" w:afterAutospacing="0" w:line="360" w:lineRule="auto"/>
        <w:shd w:val="clear" w:color="ffffff" w:fill="ffffff"/>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Второй этап (1920-е – 1980-е гг.) ознаменовался сменой методологических приоритетов. В ранний советский период иностранные источники часто привлекались для разоблачения колониальной политики царизма. Однако ключевым достижением этого этапа стало фундаментал</w:t>
      </w:r>
      <w:r>
        <w:rPr>
          <w:rFonts w:ascii="Times New Roman" w:hAnsi="Times New Roman" w:eastAsia="Times New Roman" w:cs="Times New Roman"/>
          <w:color w:val="2b2d31"/>
          <w:sz w:val="28"/>
          <w:szCs w:val="28"/>
        </w:rPr>
        <w:t xml:space="preserve">ьное освоение этнографического потенциала нарративов. Особое место здесь занимают труды М. О. Косвена, который в своих работах (в частности, «Материалы по истории этнографии Кавказа в русской науке») провел колоссальную работу по систематизации свидетельств</w:t>
      </w:r>
      <w:r>
        <w:rPr>
          <w:rFonts w:ascii="Times New Roman" w:hAnsi="Times New Roman" w:eastAsia="Times New Roman" w:cs="Times New Roman"/>
          <w:color w:val="2b2d31"/>
          <w:sz w:val="28"/>
          <w:szCs w:val="28"/>
        </w:rPr>
        <w:t xml:space="preserve"> иностранных путешественников, выделив их ценность для реконструкции традиционного быта горцев.</w:t>
      </w:r>
      <w:r/>
    </w:p>
    <w:p>
      <w:pPr>
        <w:contextualSpacing w:val="0"/>
        <w:ind w:left="0" w:right="0" w:firstLine="709"/>
        <w:jc w:val="both"/>
        <w:spacing w:after="0" w:afterAutospacing="0" w:line="360" w:lineRule="auto"/>
        <w:shd w:val="clear" w:color="ffffff" w:fill="ffffff"/>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В 1950–1970-х гг. в работах Г. А. Дзидзария и А. В. Фадеева иностранные нарративы анализировались сквозь призму «Большой игры». Авторы акцентировали внимание на деятельности английских и французских «агентов» (Дж. Белла, Дж. Лонгворта), рассматривая их текс</w:t>
      </w:r>
      <w:r>
        <w:rPr>
          <w:rFonts w:ascii="Times New Roman" w:hAnsi="Times New Roman" w:eastAsia="Times New Roman" w:cs="Times New Roman"/>
          <w:color w:val="2b2d31"/>
          <w:sz w:val="28"/>
          <w:szCs w:val="28"/>
        </w:rPr>
        <w:t xml:space="preserve">ты прежде всего как памятники политического шпионажа и пропаганды. Несмотря на идеологическую заданность, исследователи этого периода заложили базу для критического анализа достоверности иностранных свидетельств.</w:t>
      </w:r>
      <w:r/>
    </w:p>
    <w:p>
      <w:pPr>
        <w:contextualSpacing w:val="0"/>
        <w:ind w:left="0" w:right="0" w:firstLine="709"/>
        <w:jc w:val="both"/>
        <w:spacing w:after="0" w:afterAutospacing="0" w:line="360" w:lineRule="auto"/>
        <w:shd w:val="clear" w:color="ffffff" w:fill="ffffff"/>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Третий, современный этап (с начала 1990-х гг. по настоящее время) характеризуется отходом от узкополитических трактовок и обращением к методам имагологии и «новой интеллектуальной истории». В центре внимания исследователей оказался процесс формирования обра</w:t>
      </w:r>
      <w:r>
        <w:rPr>
          <w:rFonts w:ascii="Times New Roman" w:hAnsi="Times New Roman" w:eastAsia="Times New Roman" w:cs="Times New Roman"/>
          <w:color w:val="2b2d31"/>
          <w:sz w:val="28"/>
          <w:szCs w:val="28"/>
        </w:rPr>
        <w:t xml:space="preserve">за «Другого».</w:t>
      </w:r>
      <w:r/>
    </w:p>
    <w:p>
      <w:pPr>
        <w:contextualSpacing w:val="0"/>
        <w:ind w:left="0" w:right="0" w:firstLine="709"/>
        <w:jc w:val="both"/>
        <w:spacing w:after="0" w:afterAutospacing="0" w:line="360" w:lineRule="auto"/>
        <w:shd w:val="clear" w:color="ffffff" w:fill="ffffff"/>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Фундаментальный вклад в изучение геополитического контекста иностранных нарративов внес В. В. Дегоев. В его трудах («Кавказ и Великие державы», «Внешняя политика России и Кавказ») записки иностранцев анализируются как инструмент идеологического обеспечения </w:t>
      </w:r>
      <w:r>
        <w:rPr>
          <w:rFonts w:ascii="Times New Roman" w:hAnsi="Times New Roman" w:eastAsia="Times New Roman" w:cs="Times New Roman"/>
          <w:color w:val="2b2d31"/>
          <w:sz w:val="28"/>
          <w:szCs w:val="28"/>
        </w:rPr>
        <w:t xml:space="preserve">интересов европейских держав.</w:t>
      </w:r>
      <w:r/>
    </w:p>
    <w:p>
      <w:pPr>
        <w:contextualSpacing w:val="0"/>
        <w:ind w:left="0" w:right="0" w:firstLine="709"/>
        <w:jc w:val="both"/>
        <w:spacing w:after="0" w:afterAutospacing="0" w:line="360" w:lineRule="auto"/>
        <w:shd w:val="clear" w:color="ffffff" w:fill="ffffff"/>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Проблема формирования «кавказского мифа» и репрезентации региона в европейском сознании подробно рассматривается в работах Т. М. Лапиной и Е. Ю. Герасимовой. Исследователи анализируют, как через тексты А. Дюма, К. Коха и других литераторов конструировался о</w:t>
      </w:r>
      <w:r>
        <w:rPr>
          <w:rFonts w:ascii="Times New Roman" w:hAnsi="Times New Roman" w:eastAsia="Times New Roman" w:cs="Times New Roman"/>
          <w:color w:val="2b2d31"/>
          <w:sz w:val="28"/>
          <w:szCs w:val="28"/>
        </w:rPr>
        <w:t xml:space="preserve">браз «экзотического Кавказа», зачастую далекий от реальности, но влиятельный в общественной мысли Европы.</w:t>
      </w:r>
      <w:r/>
    </w:p>
    <w:p>
      <w:pPr>
        <w:contextualSpacing w:val="0"/>
        <w:ind w:left="0" w:right="0" w:firstLine="709"/>
        <w:jc w:val="both"/>
        <w:spacing w:after="0" w:afterAutospacing="0" w:line="360" w:lineRule="auto"/>
        <w:shd w:val="clear" w:color="ffffff" w:fill="ffffff"/>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Особое значение для источниковедческого анализа имеют работы П. М. Шабанова и А. И. Кузнецова, в которых детально исследуется информационный потенциал записок конкретных авторов (например, Тебу де Мариньи или Я. Потоцкого). Авторы подчеркивают, что иностран</w:t>
      </w:r>
      <w:r>
        <w:rPr>
          <w:rFonts w:ascii="Times New Roman" w:hAnsi="Times New Roman" w:eastAsia="Times New Roman" w:cs="Times New Roman"/>
          <w:color w:val="2b2d31"/>
          <w:sz w:val="28"/>
          <w:szCs w:val="28"/>
        </w:rPr>
        <w:t xml:space="preserve">ный нарратив — это сложный сплав личных наблюдений, заимствований из предшествующей литературы и политических стереотипов.</w:t>
      </w:r>
      <w:r/>
    </w:p>
    <w:p>
      <w:pPr>
        <w:contextualSpacing w:val="0"/>
        <w:ind w:left="0" w:right="0" w:firstLine="709"/>
        <w:jc w:val="both"/>
        <w:spacing w:after="0" w:afterAutospacing="0" w:line="360" w:lineRule="auto"/>
        <w:shd w:val="clear" w:color="ffffff" w:fill="ffffff"/>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Вопросы «западного взгляда» на Кавказскую войну и личность Шамиля сквозь призму иностранных мемуаров поднимаются в исследованиях Ш. А. Гапурова и А. М. Магомеддадаева. Они анализируют, как европейские авторы пытались осмыслить феномен мюридизма и государств</w:t>
      </w:r>
      <w:r>
        <w:rPr>
          <w:rFonts w:ascii="Times New Roman" w:hAnsi="Times New Roman" w:eastAsia="Times New Roman" w:cs="Times New Roman"/>
          <w:color w:val="2b2d31"/>
          <w:sz w:val="28"/>
          <w:szCs w:val="28"/>
        </w:rPr>
        <w:t xml:space="preserve">енного строительства Имамата.</w:t>
      </w:r>
      <w:r/>
    </w:p>
    <w:p>
      <w:pPr>
        <w:contextualSpacing w:val="0"/>
        <w:ind w:left="0" w:right="0" w:firstLine="709"/>
        <w:jc w:val="both"/>
        <w:spacing w:after="0" w:afterAutospacing="0" w:line="360" w:lineRule="auto"/>
        <w:shd w:val="clear" w:color="ffffff" w:fill="ffffff"/>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В современной региональной историографии (работы А. Д. Панеша, С. Х. Хотко, Э. А. Шеуджен) иностранные источники активно используются для реконструкции истории адыгских народов, при этом авторы уделяют внимание критике предвзятости иностранных наблюдателей,</w:t>
      </w:r>
      <w:r>
        <w:rPr>
          <w:rFonts w:ascii="Times New Roman" w:hAnsi="Times New Roman" w:eastAsia="Times New Roman" w:cs="Times New Roman"/>
          <w:color w:val="2b2d31"/>
          <w:sz w:val="28"/>
          <w:szCs w:val="28"/>
        </w:rPr>
        <w:t xml:space="preserve"> связанных с черкесским вопросом.</w:t>
      </w:r>
      <w:r/>
    </w:p>
    <w:p>
      <w:pPr>
        <w:contextualSpacing w:val="0"/>
        <w:ind w:left="0" w:right="0" w:firstLine="709"/>
        <w:jc w:val="both"/>
        <w:spacing w:after="0" w:afterAutospacing="0" w:line="360" w:lineRule="auto"/>
        <w:shd w:val="clear" w:color="ffffff" w:fill="ffffff"/>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Также стоит отметить работы зарубежных исследователей, переведенные на русский язык (например, Ч. Кинга, С. Лейтон), которые рассматривают Кавказ в контексте европейского ориентализма, проводя параллели между описаниями Кавказа и других «восточных» окраин в</w:t>
      </w:r>
      <w:r>
        <w:rPr>
          <w:rFonts w:ascii="Times New Roman" w:hAnsi="Times New Roman" w:eastAsia="Times New Roman" w:cs="Times New Roman"/>
          <w:color w:val="2b2d31"/>
          <w:sz w:val="28"/>
          <w:szCs w:val="28"/>
        </w:rPr>
        <w:t xml:space="preserve"> литературе XIX века.</w:t>
      </w:r>
      <w:r/>
    </w:p>
    <w:p>
      <w:pPr>
        <w:contextualSpacing w:val="0"/>
        <w:ind w:left="0" w:right="0" w:firstLine="709"/>
        <w:jc w:val="both"/>
        <w:spacing w:after="0" w:afterAutospacing="0" w:line="360" w:lineRule="auto"/>
        <w:shd w:val="clear" w:color="ffffff" w:fill="ffffff"/>
        <w:rPr>
          <w:rFonts w:ascii="Times New Roman" w:hAnsi="Times New Roman" w:eastAsia="Times New Roman" w:cs="Times New Roman"/>
          <w:color w:val="2b2d31"/>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Таким образом, общий историографический анализ свидетельствует о достаточно устойчивом интересе к иностранным свидетельствам о Кавказе. Однако, несмотря на обилие работ, сохраняется потребность в системном источниковедческом исследовании, которое позволило </w:t>
      </w:r>
      <w:r>
        <w:rPr>
          <w:rFonts w:ascii="Times New Roman" w:hAnsi="Times New Roman" w:eastAsia="Times New Roman" w:cs="Times New Roman"/>
          <w:color w:val="2b2d31"/>
          <w:sz w:val="28"/>
          <w:szCs w:val="28"/>
        </w:rPr>
        <w:t xml:space="preserve">бы не просто извлекать факты из этих текстов, но и понимать механизмы трансформации реальности в сознании иностранного наблюдателя.</w:t>
      </w:r>
      <w:r/>
      <w:r>
        <w:rPr>
          <w:rFonts w:ascii="Times New Roman" w:hAnsi="Times New Roman" w:eastAsia="Times New Roman" w:cs="Times New Roman"/>
          <w:color w:val="2b2d31"/>
          <w:sz w:val="28"/>
          <w:szCs w:val="28"/>
        </w:rPr>
      </w:r>
      <w:r>
        <w:rPr>
          <w:rFonts w:ascii="Times New Roman" w:hAnsi="Times New Roman" w:cs="Times New Roman"/>
          <w:sz w:val="28"/>
          <w:szCs w:val="28"/>
        </w:rPr>
      </w:r>
      <w:r/>
    </w:p>
    <w:p>
      <w:pPr>
        <w:contextualSpacing w:val="0"/>
        <w:ind w:left="0" w:right="0" w:firstLine="709"/>
        <w:jc w:val="both"/>
        <w:spacing w:after="0" w:afterAutospacing="0" w:line="360" w:lineRule="auto"/>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2b2d31"/>
          <w:sz w:val="28"/>
          <w:szCs w:val="28"/>
        </w:rPr>
        <w:t xml:space="preserve">Целью исследования</w:t>
      </w:r>
      <w:r>
        <w:rPr>
          <w:rFonts w:ascii="Times New Roman" w:hAnsi="Times New Roman" w:eastAsia="Times New Roman" w:cs="Times New Roman"/>
          <w:color w:val="2b2d31"/>
          <w:sz w:val="28"/>
          <w:szCs w:val="28"/>
        </w:rPr>
        <w:t xml:space="preserve"> является комплексный источниковедческий анализ иностранных нарративов XIX века для определения их роли в реконструкции исторического прошлого Северного Кавказа.</w:t>
      </w:r>
      <w:r>
        <w:rPr>
          <w:rFonts w:ascii="Times New Roman" w:hAnsi="Times New Roman" w:eastAsia="Times New Roman" w:cs="Times New Roman"/>
          <w:sz w:val="28"/>
          <w:szCs w:val="28"/>
        </w:rPr>
      </w:r>
    </w:p>
    <w:p>
      <w:pPr>
        <w:contextualSpacing w:val="0"/>
        <w:ind w:left="0" w:right="0" w:firstLine="709"/>
        <w:jc w:val="both"/>
        <w:spacing w:after="0" w:afterAutospacing="0" w:line="360" w:lineRule="auto"/>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2b2d31"/>
          <w:sz w:val="28"/>
          <w:szCs w:val="28"/>
        </w:rPr>
        <w:t xml:space="preserve">Для реализации цели поставлены следующие задачи:</w:t>
      </w:r>
      <w:r>
        <w:rPr>
          <w:rFonts w:ascii="Times New Roman" w:hAnsi="Times New Roman" w:eastAsia="Times New Roman" w:cs="Times New Roman"/>
          <w:sz w:val="28"/>
          <w:szCs w:val="28"/>
        </w:rPr>
      </w:r>
    </w:p>
    <w:p>
      <w:pPr>
        <w:pStyle w:val="621"/>
        <w:numPr>
          <w:ilvl w:val="0"/>
          <w:numId w:val="2"/>
        </w:numPr>
        <w:contextualSpacing w:val="0"/>
        <w:ind w:right="0" w:firstLine="709"/>
        <w:jc w:val="both"/>
        <w:spacing w:before="0" w:after="0" w:afterAutospacing="0" w:line="36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систематизировать и классифицировать корпус иностранных нарративов по профессиональной принадлежности авторов и их политическим установкам;</w:t>
      </w:r>
      <w:r>
        <w:rPr>
          <w:rFonts w:ascii="Times New Roman" w:hAnsi="Times New Roman" w:eastAsia="Times New Roman" w:cs="Times New Roman"/>
          <w:sz w:val="28"/>
          <w:szCs w:val="28"/>
        </w:rPr>
      </w:r>
    </w:p>
    <w:p>
      <w:pPr>
        <w:pStyle w:val="621"/>
        <w:numPr>
          <w:ilvl w:val="0"/>
          <w:numId w:val="2"/>
        </w:numPr>
        <w:contextualSpacing w:val="0"/>
        <w:ind w:right="0" w:firstLine="709"/>
        <w:jc w:val="both"/>
        <w:spacing w:before="0" w:after="0" w:afterAutospacing="0" w:line="36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выявить основные тематические доминанты в описаниях Кавказа (война, быт, религия, природа);</w:t>
      </w:r>
      <w:r>
        <w:rPr>
          <w:rFonts w:ascii="Times New Roman" w:hAnsi="Times New Roman" w:eastAsia="Times New Roman" w:cs="Times New Roman"/>
          <w:sz w:val="28"/>
          <w:szCs w:val="28"/>
        </w:rPr>
      </w:r>
    </w:p>
    <w:p>
      <w:pPr>
        <w:pStyle w:val="621"/>
        <w:numPr>
          <w:ilvl w:val="0"/>
          <w:numId w:val="2"/>
        </w:numPr>
        <w:contextualSpacing w:val="0"/>
        <w:ind w:right="0" w:firstLine="709"/>
        <w:jc w:val="both"/>
        <w:spacing w:before="0" w:after="0" w:afterAutospacing="0" w:line="36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провести сравнительный анализ данных иностранных источников с российскими официальными материалами;</w:t>
      </w:r>
      <w:r>
        <w:rPr>
          <w:rFonts w:ascii="Times New Roman" w:hAnsi="Times New Roman" w:eastAsia="Times New Roman" w:cs="Times New Roman"/>
          <w:sz w:val="28"/>
          <w:szCs w:val="28"/>
        </w:rPr>
      </w:r>
    </w:p>
    <w:p>
      <w:pPr>
        <w:pStyle w:val="621"/>
        <w:numPr>
          <w:ilvl w:val="0"/>
          <w:numId w:val="2"/>
        </w:numPr>
        <w:contextualSpacing w:val="0"/>
        <w:ind w:right="0" w:firstLine="709"/>
        <w:jc w:val="both"/>
        <w:spacing w:before="0" w:after="0" w:afterAutospacing="0" w:line="36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раскрыть механизмы формирования стереотипных образов «благородного горца» и «дикого фанатика» в европейской литературе.</w:t>
      </w:r>
      <w:r>
        <w:rPr>
          <w:rFonts w:ascii="Times New Roman" w:hAnsi="Times New Roman" w:eastAsia="Times New Roman" w:cs="Times New Roman"/>
          <w:sz w:val="28"/>
          <w:szCs w:val="28"/>
        </w:rPr>
      </w:r>
    </w:p>
    <w:p>
      <w:pPr>
        <w:contextualSpacing w:val="0"/>
        <w:ind w:left="0" w:right="0" w:firstLine="709"/>
        <w:jc w:val="both"/>
        <w:spacing w:after="0" w:afterAutospacing="0" w:line="360" w:lineRule="auto"/>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2b2d31"/>
          <w:sz w:val="28"/>
          <w:szCs w:val="28"/>
        </w:rPr>
        <w:t xml:space="preserve">Хронологические рамки исследования</w:t>
      </w:r>
      <w:r>
        <w:rPr>
          <w:rFonts w:ascii="Times New Roman" w:hAnsi="Times New Roman" w:eastAsia="Times New Roman" w:cs="Times New Roman"/>
          <w:color w:val="2b2d31"/>
          <w:sz w:val="28"/>
          <w:szCs w:val="28"/>
        </w:rPr>
        <w:t xml:space="preserve"> охватывают XIX век. Нижняя граница связана с началом активного научного и политического интереса Европы к региону (экспедиции начала века), верхняя — с завершением Кавказской войны и окончательной интеграцией региона в состав Российской империи, что измен</w:t>
      </w:r>
      <w:r>
        <w:rPr>
          <w:rFonts w:ascii="Times New Roman" w:hAnsi="Times New Roman" w:eastAsia="Times New Roman" w:cs="Times New Roman"/>
          <w:color w:val="2b2d31"/>
          <w:sz w:val="28"/>
          <w:szCs w:val="28"/>
        </w:rPr>
        <w:t xml:space="preserve">ило характер путевой литературы.</w:t>
      </w:r>
      <w:r>
        <w:rPr>
          <w:rFonts w:ascii="Times New Roman" w:hAnsi="Times New Roman" w:eastAsia="Times New Roman" w:cs="Times New Roman"/>
          <w:sz w:val="28"/>
          <w:szCs w:val="28"/>
        </w:rPr>
      </w:r>
    </w:p>
    <w:p>
      <w:pPr>
        <w:contextualSpacing w:val="0"/>
        <w:ind w:left="0" w:right="0" w:firstLine="709"/>
        <w:jc w:val="both"/>
        <w:spacing w:after="0" w:afterAutospacing="0" w:line="360" w:lineRule="auto"/>
        <w:shd w:val="clear" w:color="ffffff" w:fill="ffffff"/>
        <w:rPr>
          <w:rFonts w:ascii="Times New Roman" w:hAnsi="Times New Roman" w:eastAsia="Times New Roman" w:cs="Times New Roman"/>
          <w:color w:val="2b2d31"/>
          <w:sz w:val="28"/>
          <w:szCs w:val="28"/>
          <w14:ligatures w14: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2b2d31"/>
          <w:sz w:val="28"/>
          <w:szCs w:val="28"/>
        </w:rPr>
        <w:t xml:space="preserve">Географические рамки исследования</w:t>
      </w:r>
      <w:r>
        <w:rPr>
          <w:rFonts w:ascii="Times New Roman" w:hAnsi="Times New Roman" w:eastAsia="Times New Roman" w:cs="Times New Roman"/>
          <w:color w:val="2b2d31"/>
          <w:sz w:val="28"/>
          <w:szCs w:val="28"/>
        </w:rPr>
        <w:t xml:space="preserve"> включают территорию Северного Кавказа (Северо-Западный и Северо-Восточный Кавказ), рас</w:t>
      </w:r>
      <w:r>
        <w:rPr>
          <w:rFonts w:ascii="Times New Roman" w:hAnsi="Times New Roman" w:eastAsia="Times New Roman" w:cs="Times New Roman"/>
          <w:color w:val="2b2d31"/>
          <w:sz w:val="28"/>
          <w:szCs w:val="28"/>
        </w:rPr>
        <w:t xml:space="preserve">сматриваемую в контексте имперского расширения и международных отношений.</w:t>
      </w:r>
      <w:r>
        <w:rPr>
          <w:rFonts w:ascii="Times New Roman" w:hAnsi="Times New Roman" w:eastAsia="Times New Roman" w:cs="Times New Roman"/>
          <w:color w:val="2b2d31"/>
          <w:sz w:val="28"/>
          <w:szCs w:val="28"/>
        </w:rPr>
      </w:r>
    </w:p>
    <w:p>
      <w:pPr>
        <w:contextualSpacing w:val="0"/>
        <w:ind w:left="0" w:right="0" w:firstLine="709"/>
        <w:jc w:val="both"/>
        <w:spacing w:after="0" w:afterAutospacing="0" w:line="360" w:lineRule="auto"/>
        <w:shd w:val="clear" w:color="ffffff" w:fill="ffffff"/>
        <w:rPr>
          <w:rFonts w:ascii="Times New Roman" w:hAnsi="Times New Roman" w:eastAsia="Times New Roman" w:cs="Times New Roman"/>
          <w:color w:val="2b2d31"/>
          <w:sz w:val="28"/>
          <w:szCs w:val="28"/>
          <w14:ligatures w14: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color w:val="2b2d31"/>
          <w:sz w:val="28"/>
          <w:szCs w:val="28"/>
        </w:rPr>
        <w:t xml:space="preserve">Источниковую базу </w:t>
      </w:r>
      <w:r>
        <w:rPr>
          <w:rFonts w:ascii="Times New Roman" w:hAnsi="Times New Roman" w:eastAsia="Times New Roman" w:cs="Times New Roman"/>
          <w:color w:val="2b2d31"/>
          <w:sz w:val="28"/>
          <w:szCs w:val="28"/>
        </w:rPr>
        <w:t xml:space="preserve">квалификационной работы составили разнообразные нарративные источники иностранного происхождения, которые были условно разделены на пять основных групп.</w:t>
      </w:r>
      <w:r>
        <w:rPr>
          <w:rFonts w:ascii="Times New Roman" w:hAnsi="Times New Roman" w:eastAsia="Times New Roman" w:cs="Times New Roman"/>
          <w:color w:val="2b2d31"/>
          <w:sz w:val="28"/>
          <w:szCs w:val="28"/>
        </w:rPr>
      </w:r>
    </w:p>
    <w:p>
      <w:pPr>
        <w:contextualSpacing w:val="0"/>
        <w:ind w:left="0" w:right="0" w:firstLine="709"/>
        <w:jc w:val="both"/>
        <w:spacing w:after="0" w:afterAutospacing="0" w:line="360" w:lineRule="auto"/>
        <w:shd w:val="clear" w:color="ffffff" w:fill="ffffff"/>
        <w:rPr>
          <w:rFonts w:ascii="Times New Roman" w:hAnsi="Times New Roman" w:eastAsia="Times New Roman" w:cs="Times New Roman"/>
          <w:color w:val="2b2d31"/>
          <w:sz w:val="28"/>
          <w:szCs w:val="28"/>
          <w14:ligatures w14: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К первой группе относятся путевые заметки и дневники профессиональных путешественников и литераторов. Ключевое значение здесь имеют труды Александра Дюма-отца («Кавказ») и Ксавье Оммэра де Гелля. Эти источники позволяют проанализировать механизмы формирован</w:t>
      </w:r>
      <w:r>
        <w:rPr>
          <w:rFonts w:ascii="Times New Roman" w:hAnsi="Times New Roman" w:eastAsia="Times New Roman" w:cs="Times New Roman"/>
          <w:color w:val="2b2d31"/>
          <w:sz w:val="28"/>
          <w:szCs w:val="28"/>
        </w:rPr>
        <w:t xml:space="preserve">ия «экзотического» образа Кавказа в европейском сознании, выявить элементы романтизации и ориентализма, а также оценить, как личные впечатления авторов трансформировались в устойчивые литературные мифы.</w:t>
      </w:r>
      <w:r>
        <w:rPr>
          <w:rFonts w:ascii="Times New Roman" w:hAnsi="Times New Roman" w:eastAsia="Times New Roman" w:cs="Times New Roman"/>
          <w:color w:val="2b2d31"/>
          <w:sz w:val="28"/>
          <w:szCs w:val="28"/>
        </w:rPr>
      </w:r>
    </w:p>
    <w:p>
      <w:pPr>
        <w:contextualSpacing w:val="0"/>
        <w:ind w:left="0" w:right="0" w:firstLine="709"/>
        <w:jc w:val="both"/>
        <w:spacing w:after="0" w:afterAutospacing="0" w:line="360" w:lineRule="auto"/>
        <w:shd w:val="clear" w:color="ffffff" w:fill="ffffff"/>
        <w:rPr>
          <w:rFonts w:ascii="Times New Roman" w:hAnsi="Times New Roman" w:eastAsia="Times New Roman" w:cs="Times New Roman"/>
          <w:color w:val="2b2d31"/>
          <w:sz w:val="28"/>
          <w:szCs w:val="28"/>
          <w14:ligatures w14: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Вторую группу составляют записки и мемуары иностранных военных и политических агентов, непосредственно участвовавших в событиях Кавказской войны или находившихся с миссиями у горцев. Это фундаментальные работы англичан Эдмунда Спенсера («Путешествия в Черке</w:t>
      </w:r>
      <w:r>
        <w:rPr>
          <w:rFonts w:ascii="Times New Roman" w:hAnsi="Times New Roman" w:eastAsia="Times New Roman" w:cs="Times New Roman"/>
          <w:color w:val="2b2d31"/>
          <w:sz w:val="28"/>
          <w:szCs w:val="28"/>
        </w:rPr>
        <w:t xml:space="preserve">сию»), Джеймса Белла («Дневник пребывания в Черкесии») и поляка Теофила Лапинского. Данный корпус источников обладает высочайшей информативностью в вопросах военного быта, политического устройства горских обществ и внешнеполитических связей региона в контек</w:t>
      </w:r>
      <w:r>
        <w:rPr>
          <w:rFonts w:ascii="Times New Roman" w:hAnsi="Times New Roman" w:eastAsia="Times New Roman" w:cs="Times New Roman"/>
          <w:color w:val="2b2d31"/>
          <w:sz w:val="28"/>
          <w:szCs w:val="28"/>
        </w:rPr>
        <w:t xml:space="preserve">сте «Большой игры».</w:t>
      </w:r>
      <w:r>
        <w:rPr>
          <w:rFonts w:ascii="Times New Roman" w:hAnsi="Times New Roman" w:eastAsia="Times New Roman" w:cs="Times New Roman"/>
          <w:color w:val="2b2d31"/>
          <w:sz w:val="28"/>
          <w:szCs w:val="28"/>
        </w:rPr>
      </w:r>
    </w:p>
    <w:p>
      <w:pPr>
        <w:contextualSpacing w:val="0"/>
        <w:ind w:left="0" w:right="0" w:firstLine="709"/>
        <w:jc w:val="both"/>
        <w:spacing w:after="0" w:afterAutospacing="0" w:line="360" w:lineRule="auto"/>
        <w:shd w:val="clear" w:color="ffffff" w:fill="ffffff"/>
        <w:rPr>
          <w:rFonts w:ascii="Times New Roman" w:hAnsi="Times New Roman" w:eastAsia="Times New Roman" w:cs="Times New Roman"/>
          <w:color w:val="2b2d31"/>
          <w:sz w:val="28"/>
          <w:szCs w:val="28"/>
          <w14:ligatures w14: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Третью группу образуют труды ученых-исследователей и естествоиспытателей, посещавших регион с научными целями. Сюда вошли работы немецких исследователей Морица Вагнера, Августа Гакстгаузена и Карла Коха. Эти источники отличаются стремлением к систематизации</w:t>
      </w:r>
      <w:r>
        <w:rPr>
          <w:rFonts w:ascii="Times New Roman" w:hAnsi="Times New Roman" w:eastAsia="Times New Roman" w:cs="Times New Roman"/>
          <w:color w:val="2b2d31"/>
          <w:sz w:val="28"/>
          <w:szCs w:val="28"/>
        </w:rPr>
        <w:t xml:space="preserve"> данных, содержат глубокие этнографические описания, сведения о обычном праве (адате), верованиях и хозяйственном укладе народов Кавказа, что делает их наиболее достоверными в плане фактического материала.</w:t>
      </w:r>
      <w:r>
        <w:rPr>
          <w:rFonts w:ascii="Times New Roman" w:hAnsi="Times New Roman" w:eastAsia="Times New Roman" w:cs="Times New Roman"/>
          <w:color w:val="2b2d31"/>
          <w:sz w:val="28"/>
          <w:szCs w:val="28"/>
        </w:rPr>
      </w:r>
    </w:p>
    <w:p>
      <w:pPr>
        <w:contextualSpacing w:val="0"/>
        <w:ind w:left="0" w:right="0" w:firstLine="709"/>
        <w:jc w:val="both"/>
        <w:spacing w:after="0" w:afterAutospacing="0" w:line="360" w:lineRule="auto"/>
        <w:shd w:val="clear" w:color="ffffff" w:fill="ffffff"/>
        <w:rPr>
          <w:rFonts w:ascii="Times New Roman" w:hAnsi="Times New Roman" w:eastAsia="Times New Roman" w:cs="Times New Roman"/>
          <w:color w:val="2b2d31"/>
          <w:sz w:val="28"/>
          <w:szCs w:val="28"/>
          <w14:ligatures w14: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Четвертую группу представляют материалы европейской периодической печати XIX века (в частности, британский журнал «The Portfolio»), где публиковались письма, отчеты и памфлеты иностранных визитеров. Эти источники позволяют проследить, как первичные нарратив</w:t>
      </w:r>
      <w:r>
        <w:rPr>
          <w:rFonts w:ascii="Times New Roman" w:hAnsi="Times New Roman" w:eastAsia="Times New Roman" w:cs="Times New Roman"/>
          <w:color w:val="2b2d31"/>
          <w:sz w:val="28"/>
          <w:szCs w:val="28"/>
        </w:rPr>
        <w:t xml:space="preserve">ы адаптировались для массового европейского читателя и становились инструментом антироссийской или прогорской пропаганды, формируя общественное мнение на Западе.</w:t>
      </w:r>
      <w:r>
        <w:rPr>
          <w:rFonts w:ascii="Times New Roman" w:hAnsi="Times New Roman" w:eastAsia="Times New Roman" w:cs="Times New Roman"/>
          <w:color w:val="2b2d31"/>
          <w:sz w:val="28"/>
          <w:szCs w:val="28"/>
        </w:rPr>
      </w:r>
    </w:p>
    <w:p>
      <w:pPr>
        <w:contextualSpacing w:val="0"/>
        <w:ind w:left="0" w:right="0" w:firstLine="709"/>
        <w:jc w:val="both"/>
        <w:spacing w:after="0" w:afterAutospacing="0" w:line="360" w:lineRule="auto"/>
        <w:shd w:val="clear" w:color="ffffff" w:fill="ffffff"/>
        <w:rPr>
          <w:rFonts w:ascii="Times New Roman" w:hAnsi="Times New Roman" w:eastAsia="Times New Roman" w:cs="Times New Roman"/>
          <w:color w:val="2b2d31"/>
          <w:sz w:val="28"/>
          <w:szCs w:val="28"/>
          <w14:ligatures w14: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Пятую группу составляют официальные документы и переписка российских властей, касающиеся деятельности иностранцев на Кавказе. Особое значение имеют материалы из Актов Кавказской археографической комиссии (АКАК), содержащие донесения о задержании иностранных</w:t>
      </w:r>
      <w:r>
        <w:rPr>
          <w:rFonts w:ascii="Times New Roman" w:hAnsi="Times New Roman" w:eastAsia="Times New Roman" w:cs="Times New Roman"/>
          <w:color w:val="2b2d31"/>
          <w:sz w:val="28"/>
          <w:szCs w:val="28"/>
        </w:rPr>
        <w:t xml:space="preserve"> агентов, аналитические записки российских генералов о «подстрекательской» роли европейцев. Эти документы необходимы для проведения перекрестного анализа и верификации сведений, изложенных в иностранных нарративах.</w:t>
      </w:r>
      <w:r>
        <w:rPr>
          <w:rFonts w:ascii="Times New Roman" w:hAnsi="Times New Roman" w:eastAsia="Times New Roman" w:cs="Times New Roman"/>
          <w:color w:val="2b2d31"/>
          <w:sz w:val="28"/>
          <w:szCs w:val="28"/>
        </w:rPr>
      </w:r>
    </w:p>
    <w:p>
      <w:pPr>
        <w:contextualSpacing w:val="0"/>
        <w:ind w:left="0" w:right="0" w:firstLine="709"/>
        <w:jc w:val="both"/>
        <w:spacing w:after="0" w:afterAutospacing="0" w:line="360" w:lineRule="auto"/>
        <w:shd w:val="clear" w:color="ffffff" w:fill="ffffff"/>
        <w:rPr>
          <w:rFonts w:ascii="Times New Roman" w:hAnsi="Times New Roman" w:eastAsia="Times New Roman" w:cs="Times New Roman"/>
          <w:color w:val="2b2d31"/>
          <w:sz w:val="28"/>
          <w:szCs w:val="28"/>
          <w14:ligatures w14: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Таким образом, привлеченный корпус источников позволяет провести всестороннее источниковедческое исследование, сопоставить различные «взгляды» на Кавказ — от романтического и научного до прагматичного и политизированного, — и выявить степень достоверности и</w:t>
      </w:r>
      <w:r>
        <w:rPr>
          <w:rFonts w:ascii="Times New Roman" w:hAnsi="Times New Roman" w:eastAsia="Times New Roman" w:cs="Times New Roman"/>
          <w:color w:val="2b2d31"/>
          <w:sz w:val="28"/>
          <w:szCs w:val="28"/>
        </w:rPr>
        <w:t xml:space="preserve">ностранных свидетельств о регионе в XIX веке.</w:t>
      </w:r>
      <w:r>
        <w:rPr>
          <w:rFonts w:ascii="Times New Roman" w:hAnsi="Times New Roman" w:eastAsia="Times New Roman" w:cs="Times New Roman"/>
          <w:color w:val="2b2d31"/>
          <w:sz w:val="28"/>
          <w:szCs w:val="28"/>
        </w:rPr>
      </w:r>
      <w:r>
        <w:rPr>
          <w:rFonts w:ascii="Times New Roman" w:hAnsi="Times New Roman" w:eastAsia="Times New Roman" w:cs="Times New Roman"/>
          <w:color w:val="2b2d31"/>
          <w:sz w:val="28"/>
          <w:szCs w:val="28"/>
        </w:rPr>
      </w:r>
    </w:p>
    <w:p>
      <w:pPr>
        <w:contextualSpacing w:val="0"/>
        <w:ind w:left="0" w:right="0" w:firstLine="709"/>
        <w:jc w:val="both"/>
        <w:spacing w:after="0" w:afterAutospacing="0" w:line="360" w:lineRule="auto"/>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2b2d31"/>
          <w:sz w:val="28"/>
          <w:szCs w:val="28"/>
        </w:rPr>
        <w:t xml:space="preserve">Методологическую базу исследования</w:t>
      </w:r>
      <w:r>
        <w:rPr>
          <w:rFonts w:ascii="Times New Roman" w:hAnsi="Times New Roman" w:eastAsia="Times New Roman" w:cs="Times New Roman"/>
          <w:color w:val="2b2d31"/>
          <w:sz w:val="28"/>
          <w:szCs w:val="28"/>
        </w:rPr>
        <w:t xml:space="preserve"> составили принципы историзма и научной объективности. Использован </w:t>
      </w:r>
      <w:r>
        <w:rPr>
          <w:rFonts w:ascii="Times New Roman" w:hAnsi="Times New Roman" w:eastAsia="Times New Roman" w:cs="Times New Roman"/>
          <w:b/>
          <w:color w:val="2b2d31"/>
          <w:sz w:val="28"/>
          <w:szCs w:val="28"/>
        </w:rPr>
        <w:t xml:space="preserve">имагологический подход</w:t>
      </w:r>
      <w:r>
        <w:rPr>
          <w:rFonts w:ascii="Times New Roman" w:hAnsi="Times New Roman" w:eastAsia="Times New Roman" w:cs="Times New Roman"/>
          <w:color w:val="2b2d31"/>
          <w:sz w:val="28"/>
          <w:szCs w:val="28"/>
        </w:rPr>
        <w:t xml:space="preserve"> (анализ образа «Другого»), </w:t>
      </w:r>
      <w:r>
        <w:rPr>
          <w:rFonts w:ascii="Times New Roman" w:hAnsi="Times New Roman" w:eastAsia="Times New Roman" w:cs="Times New Roman"/>
          <w:b/>
          <w:color w:val="2b2d31"/>
          <w:sz w:val="28"/>
          <w:szCs w:val="28"/>
        </w:rPr>
        <w:t xml:space="preserve">метод внутренней и внешней критики источника</w:t>
      </w:r>
      <w:r>
        <w:rPr>
          <w:rFonts w:ascii="Times New Roman" w:hAnsi="Times New Roman" w:eastAsia="Times New Roman" w:cs="Times New Roman"/>
          <w:color w:val="2b2d31"/>
          <w:sz w:val="28"/>
          <w:szCs w:val="28"/>
        </w:rPr>
        <w:t xml:space="preserve">, а также </w:t>
      </w:r>
      <w:r>
        <w:rPr>
          <w:rFonts w:ascii="Times New Roman" w:hAnsi="Times New Roman" w:eastAsia="Times New Roman" w:cs="Times New Roman"/>
          <w:b/>
          <w:color w:val="2b2d31"/>
          <w:sz w:val="28"/>
          <w:szCs w:val="28"/>
        </w:rPr>
        <w:t xml:space="preserve">компаративный метод</w:t>
      </w:r>
      <w:r>
        <w:rPr>
          <w:rFonts w:ascii="Times New Roman" w:hAnsi="Times New Roman" w:eastAsia="Times New Roman" w:cs="Times New Roman"/>
          <w:color w:val="2b2d31"/>
          <w:sz w:val="28"/>
          <w:szCs w:val="28"/>
        </w:rPr>
        <w:t xml:space="preserve"> для сопоставления свидетельств авторов из разных национальных сред (английской, французской, немецкой).</w:t>
      </w:r>
      <w:r>
        <w:rPr>
          <w:rFonts w:ascii="Times New Roman" w:hAnsi="Times New Roman" w:eastAsia="Times New Roman" w:cs="Times New Roman"/>
          <w:sz w:val="28"/>
          <w:szCs w:val="28"/>
        </w:rPr>
      </w:r>
    </w:p>
    <w:p>
      <w:pPr>
        <w:contextualSpacing w:val="0"/>
        <w:ind w:left="0" w:right="0" w:firstLine="709"/>
        <w:jc w:val="both"/>
        <w:spacing w:after="0" w:afterAutospacing="0" w:line="360" w:lineRule="auto"/>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2b2d31"/>
          <w:sz w:val="28"/>
          <w:szCs w:val="28"/>
        </w:rPr>
        <w:t xml:space="preserve">Научная новизна</w:t>
      </w:r>
      <w:r>
        <w:rPr>
          <w:rFonts w:ascii="Times New Roman" w:hAnsi="Times New Roman" w:eastAsia="Times New Roman" w:cs="Times New Roman"/>
          <w:color w:val="2b2d31"/>
          <w:sz w:val="28"/>
          <w:szCs w:val="28"/>
        </w:rPr>
        <w:t xml:space="preserve"> заключается в системном анализе иностранных нарративов не просто как носителей фактов, а как специфических текстов, созданных в рамках определенного политического и культурного кода. Впервые предпринимается попытка сопоставить «оптику» исследователей-учен</w:t>
      </w:r>
      <w:r>
        <w:rPr>
          <w:rFonts w:ascii="Times New Roman" w:hAnsi="Times New Roman" w:eastAsia="Times New Roman" w:cs="Times New Roman"/>
          <w:color w:val="2b2d31"/>
          <w:sz w:val="28"/>
          <w:szCs w:val="28"/>
        </w:rPr>
        <w:t xml:space="preserve">ых и политических пропагандистов в рамках одного источниковедческого поля.</w:t>
      </w:r>
      <w:r>
        <w:rPr>
          <w:rFonts w:ascii="Times New Roman" w:hAnsi="Times New Roman" w:eastAsia="Times New Roman" w:cs="Times New Roman"/>
          <w:sz w:val="28"/>
          <w:szCs w:val="28"/>
        </w:rPr>
      </w:r>
    </w:p>
    <w:p>
      <w:pPr>
        <w:contextualSpacing w:val="0"/>
        <w:ind w:left="0" w:right="0" w:firstLine="709"/>
        <w:jc w:val="both"/>
        <w:spacing w:after="0" w:afterAutospacing="0" w:line="360" w:lineRule="auto"/>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2b2d31"/>
          <w:sz w:val="28"/>
          <w:szCs w:val="28"/>
        </w:rPr>
        <w:t xml:space="preserve">Теоретическая и практическая значимость</w:t>
      </w:r>
      <w:r>
        <w:rPr>
          <w:rFonts w:ascii="Times New Roman" w:hAnsi="Times New Roman" w:eastAsia="Times New Roman" w:cs="Times New Roman"/>
          <w:color w:val="2b2d31"/>
          <w:sz w:val="28"/>
          <w:szCs w:val="28"/>
        </w:rPr>
        <w:t xml:space="preserve"> работы состоит в возможности использования результатов для разработки спецкурсов по истории Кавказа, источниковедению и истории международных отношений.</w:t>
      </w:r>
      <w:r>
        <w:rPr>
          <w:rFonts w:ascii="Times New Roman" w:hAnsi="Times New Roman" w:eastAsia="Times New Roman" w:cs="Times New Roman"/>
          <w:sz w:val="28"/>
          <w:szCs w:val="28"/>
        </w:rPr>
      </w:r>
    </w:p>
    <w:p>
      <w:pPr>
        <w:contextualSpacing w:val="0"/>
        <w:ind w:left="0" w:right="0" w:firstLine="709"/>
        <w:jc w:val="both"/>
        <w:spacing w:after="0" w:afterAutospacing="0" w:line="360" w:lineRule="auto"/>
        <w:shd w:val="clear" w:color="ffffff" w:fill="ffffff"/>
        <w:rPr>
          <w:rFonts w:ascii="Times New Roman" w:hAnsi="Times New Roman" w:eastAsia="Times New Roman" w:cs="Times New Roman"/>
          <w:b/>
          <w:bCs/>
          <w:color w:val="2b2d31"/>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2b2d31"/>
          <w:sz w:val="28"/>
          <w:szCs w:val="28"/>
        </w:rPr>
        <w:t xml:space="preserve">Положения, выносимые на защиту:</w:t>
      </w:r>
      <w:r>
        <w:rPr>
          <w:rFonts w:ascii="Times New Roman" w:hAnsi="Times New Roman" w:cs="Times New Roman"/>
          <w:sz w:val="28"/>
          <w:szCs w:val="28"/>
        </w:rPr>
      </w:r>
    </w:p>
    <w:p>
      <w:pPr>
        <w:contextualSpacing w:val="0"/>
        <w:ind w:left="0" w:right="0" w:firstLine="709"/>
        <w:jc w:val="both"/>
        <w:spacing w:after="0" w:afterAutospacing="0" w:line="360" w:lineRule="auto"/>
        <w:shd w:val="clear" w:color="ffffff" w:fill="ffffff"/>
        <w:rPr>
          <w:rFonts w:ascii="Times New Roman" w:hAnsi="Times New Roman" w:eastAsia="Times New Roman" w:cs="Times New Roman"/>
          <w:color w:val="2b2d31"/>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2b2d31"/>
          <w:sz w:val="28"/>
          <w:szCs w:val="28"/>
        </w:rPr>
      </w:r>
      <w:r>
        <w:rPr>
          <w:rFonts w:ascii="Times New Roman" w:hAnsi="Times New Roman" w:eastAsia="Times New Roman" w:cs="Times New Roman"/>
          <w:color w:val="2b2d31"/>
          <w:sz w:val="28"/>
          <w:szCs w:val="28"/>
        </w:rPr>
        <w:t xml:space="preserve">- </w:t>
      </w:r>
      <w:r/>
      <w:r>
        <w:rPr>
          <w:rFonts w:ascii="Times New Roman" w:hAnsi="Times New Roman" w:eastAsia="Times New Roman" w:cs="Times New Roman"/>
          <w:b/>
          <w:color w:val="2b2d31"/>
          <w:sz w:val="28"/>
          <w:szCs w:val="28"/>
        </w:rPr>
      </w:r>
      <w:r>
        <w:rPr>
          <w:rFonts w:ascii="Times New Roman" w:hAnsi="Times New Roman" w:eastAsia="Times New Roman" w:cs="Times New Roman"/>
          <w:color w:val="2b2d31"/>
          <w:sz w:val="28"/>
          <w:szCs w:val="28"/>
        </w:rPr>
        <w:t xml:space="preserve">Иностранные нарративы XIX века являются гетерогенным источником, где степень достоверности напрямую зависит от политической ангажированности автора в контексте «Большой игры».</w:t>
      </w:r>
      <w:r>
        <w:rPr>
          <w:rFonts w:ascii="Times New Roman" w:hAnsi="Times New Roman" w:cs="Times New Roman"/>
          <w:sz w:val="28"/>
          <w:szCs w:val="28"/>
        </w:rPr>
      </w:r>
    </w:p>
    <w:p>
      <w:pPr>
        <w:contextualSpacing w:val="0"/>
        <w:ind w:left="0" w:right="0" w:firstLine="709"/>
        <w:jc w:val="both"/>
        <w:spacing w:after="0" w:afterAutospacing="0" w:line="360" w:lineRule="auto"/>
        <w:shd w:val="clear" w:color="ffffff" w:fill="ffffff"/>
        <w:rPr>
          <w:rFonts w:ascii="Times New Roman" w:hAnsi="Times New Roman" w:eastAsia="Times New Roman" w:cs="Times New Roman"/>
          <w:color w:val="2b2d31"/>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r>
      <w:r>
        <w:rPr>
          <w:rFonts w:ascii="Times New Roman" w:hAnsi="Times New Roman" w:eastAsia="Times New Roman" w:cs="Times New Roman"/>
          <w:color w:val="2b2d31"/>
          <w:sz w:val="28"/>
          <w:szCs w:val="28"/>
        </w:rPr>
        <w:t xml:space="preserve">- </w:t>
      </w:r>
      <w:r/>
      <w:r>
        <w:rPr>
          <w:rFonts w:ascii="Times New Roman" w:hAnsi="Times New Roman" w:eastAsia="Times New Roman" w:cs="Times New Roman"/>
          <w:color w:val="2b2d31"/>
          <w:sz w:val="28"/>
          <w:szCs w:val="28"/>
        </w:rPr>
      </w:r>
      <w:r>
        <w:rPr>
          <w:rFonts w:ascii="Times New Roman" w:hAnsi="Times New Roman" w:eastAsia="Times New Roman" w:cs="Times New Roman"/>
          <w:color w:val="2b2d31"/>
          <w:sz w:val="28"/>
          <w:szCs w:val="28"/>
        </w:rPr>
        <w:t xml:space="preserve">В записках иностранцев зафиксированы уникальные сведения об адатах и повседневной жизни горцев, которые игнорировались российскими авторами в силу «замыленности» взгляда или цензурных ограничений.</w:t>
      </w:r>
      <w:r>
        <w:rPr>
          <w:rFonts w:ascii="Times New Roman" w:hAnsi="Times New Roman" w:cs="Times New Roman"/>
          <w:sz w:val="28"/>
          <w:szCs w:val="28"/>
        </w:rPr>
      </w:r>
    </w:p>
    <w:p>
      <w:pPr>
        <w:contextualSpacing w:val="0"/>
        <w:ind w:left="0" w:right="0" w:firstLine="709"/>
        <w:jc w:val="both"/>
        <w:spacing w:after="0" w:afterAutospacing="0" w:line="360" w:lineRule="auto"/>
        <w:shd w:val="clear" w:color="ffffff" w:fill="ffffff"/>
        <w:rPr>
          <w:rFonts w:ascii="Times New Roman" w:hAnsi="Times New Roman" w:eastAsia="Times New Roman" w:cs="Times New Roman"/>
          <w:color w:val="2b2d31"/>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r>
      <w:r>
        <w:rPr>
          <w:rFonts w:ascii="Times New Roman" w:hAnsi="Times New Roman" w:eastAsia="Times New Roman" w:cs="Times New Roman"/>
          <w:color w:val="2b2d31"/>
          <w:sz w:val="28"/>
          <w:szCs w:val="28"/>
        </w:rPr>
        <w:t xml:space="preserve">- </w:t>
      </w:r>
      <w:r/>
      <w:r>
        <w:rPr>
          <w:rFonts w:ascii="Times New Roman" w:hAnsi="Times New Roman" w:eastAsia="Times New Roman" w:cs="Times New Roman"/>
          <w:color w:val="2b2d31"/>
          <w:sz w:val="28"/>
          <w:szCs w:val="28"/>
        </w:rPr>
      </w:r>
      <w:r>
        <w:rPr>
          <w:rFonts w:ascii="Times New Roman" w:hAnsi="Times New Roman" w:eastAsia="Times New Roman" w:cs="Times New Roman"/>
          <w:color w:val="2b2d31"/>
          <w:sz w:val="28"/>
          <w:szCs w:val="28"/>
        </w:rPr>
        <w:t xml:space="preserve">Европейский образ Кавказа в XIX веке эволюционировал от экзотической «терра инкогнита» к политизированному образу «форпоста свободы», что отражало интересы европейских держав, а не реальные нужды региона.</w:t>
      </w:r>
      <w:r>
        <w:rPr>
          <w:rFonts w:ascii="Times New Roman" w:hAnsi="Times New Roman" w:cs="Times New Roman"/>
          <w:sz w:val="28"/>
          <w:szCs w:val="28"/>
        </w:rPr>
      </w:r>
    </w:p>
    <w:p>
      <w:pPr>
        <w:contextualSpacing w:val="0"/>
        <w:ind w:left="0" w:right="0" w:firstLine="709"/>
        <w:jc w:val="both"/>
        <w:spacing w:after="0" w:afterAutospacing="0" w:line="360" w:lineRule="auto"/>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2b2d31"/>
          <w:sz w:val="28"/>
          <w:szCs w:val="28"/>
        </w:rPr>
        <w:t xml:space="preserve">- </w:t>
      </w:r>
      <w:r>
        <w:rPr>
          <w:rFonts w:ascii="Times New Roman" w:hAnsi="Times New Roman" w:eastAsia="Times New Roman" w:cs="Times New Roman"/>
          <w:color w:val="2b2d31"/>
          <w:sz w:val="28"/>
          <w:szCs w:val="28"/>
        </w:rPr>
        <w:t xml:space="preserve">Нарративы иностранцев создали устойчивый миф о Кавказе, который до сих пор оказывает влияние на западную историографию и общественное мнение.</w:t>
      </w:r>
      <w:r>
        <w:rPr>
          <w:rFonts w:ascii="Times New Roman" w:hAnsi="Times New Roman" w:cs="Times New Roman"/>
          <w:sz w:val="28"/>
          <w:szCs w:val="28"/>
        </w:rPr>
      </w:r>
      <w:r/>
    </w:p>
    <w:p>
      <w:pPr>
        <w:contextualSpacing w:val="0"/>
        <w:ind w:firstLine="709"/>
        <w:jc w:val="both"/>
        <w:spacing w:after="0" w:afterAutospacing="0" w:line="360" w:lineRule="auto"/>
        <w:rPr>
          <w:rFonts w:ascii="Times New Roman" w:hAnsi="Times New Roman" w:cs="Times New Roman"/>
          <w:sz w:val="28"/>
          <w:szCs w:val="28"/>
        </w:rPr>
        <w:suppressLineNumbers w:val="0"/>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10000000000000000"/>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right"/>
      <w:pPr>
        <w:ind w:left="709" w:hanging="360"/>
      </w:pPr>
      <w:rPr>
        <w:rFonts w:ascii="Arial" w:hAnsi="Arial" w:eastAsia="Arial" w:cs="Arial"/>
        <w:color w:val="2b2d31"/>
        <w:sz w:val="21"/>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
    <w:multiLevelType w:val="hybridMultilevel"/>
    <w:lvl w:ilvl="0">
      <w:start w:val="1"/>
      <w:numFmt w:val="bullet"/>
      <w:isLgl w:val="false"/>
      <w:suff w:val="tab"/>
      <w:lvlText w:val="·"/>
      <w:lvlJc w:val="left"/>
      <w:pPr>
        <w:ind w:left="709" w:hanging="360"/>
      </w:pPr>
      <w:rPr>
        <w:rFonts w:hint="default" w:ascii="Symbol" w:hAnsi="Symbol" w:eastAsia="Symbol" w:cs="Symbol"/>
        <w:color w:val="2b2d31"/>
        <w:sz w:val="21"/>
      </w:rPr>
    </w:lvl>
    <w:lvl w:ilvl="1">
      <w:start w:val="1"/>
      <w:numFmt w:val="bullet"/>
      <w:isLgl w:val="false"/>
      <w:suff w:val="tab"/>
      <w:lvlText w:val="·"/>
      <w:lvlJc w:val="left"/>
      <w:pPr>
        <w:ind w:left="1429" w:hanging="360"/>
      </w:pPr>
      <w:rPr>
        <w:rFonts w:hint="default" w:ascii="Symbol" w:hAnsi="Symbol" w:eastAsia="Symbol" w:cs="Symbol"/>
        <w:color w:val="2b2d31"/>
        <w:sz w:val="21"/>
      </w:rPr>
    </w:lvl>
    <w:lvl w:ilvl="2">
      <w:start w:val="1"/>
      <w:numFmt w:val="bullet"/>
      <w:isLgl w:val="false"/>
      <w:suff w:val="tab"/>
      <w:lvlText w:val="·"/>
      <w:lvlJc w:val="left"/>
      <w:pPr>
        <w:ind w:left="2149" w:hanging="360"/>
      </w:pPr>
      <w:rPr>
        <w:rFonts w:hint="default" w:ascii="Symbol" w:hAnsi="Symbol" w:eastAsia="Symbol" w:cs="Symbol"/>
        <w:color w:val="2b2d31"/>
        <w:sz w:val="21"/>
      </w:rPr>
    </w:lvl>
    <w:lvl w:ilvl="3">
      <w:start w:val="1"/>
      <w:numFmt w:val="bullet"/>
      <w:isLgl w:val="false"/>
      <w:suff w:val="tab"/>
      <w:lvlText w:val="·"/>
      <w:lvlJc w:val="left"/>
      <w:pPr>
        <w:ind w:left="2869" w:hanging="360"/>
      </w:pPr>
      <w:rPr>
        <w:rFonts w:hint="default" w:ascii="Symbol" w:hAnsi="Symbol" w:eastAsia="Symbol" w:cs="Symbol"/>
        <w:color w:val="2b2d31"/>
        <w:sz w:val="21"/>
      </w:rPr>
    </w:lvl>
    <w:lvl w:ilvl="4">
      <w:start w:val="1"/>
      <w:numFmt w:val="bullet"/>
      <w:isLgl w:val="false"/>
      <w:suff w:val="tab"/>
      <w:lvlText w:val="·"/>
      <w:lvlJc w:val="left"/>
      <w:pPr>
        <w:ind w:left="3589" w:hanging="360"/>
      </w:pPr>
      <w:rPr>
        <w:rFonts w:hint="default" w:ascii="Symbol" w:hAnsi="Symbol" w:eastAsia="Symbol" w:cs="Symbol"/>
        <w:color w:val="2b2d31"/>
        <w:sz w:val="21"/>
      </w:rPr>
    </w:lvl>
    <w:lvl w:ilvl="5">
      <w:start w:val="1"/>
      <w:numFmt w:val="bullet"/>
      <w:isLgl w:val="false"/>
      <w:suff w:val="tab"/>
      <w:lvlText w:val="·"/>
      <w:lvlJc w:val="left"/>
      <w:pPr>
        <w:ind w:left="4309" w:hanging="360"/>
      </w:pPr>
      <w:rPr>
        <w:rFonts w:hint="default" w:ascii="Symbol" w:hAnsi="Symbol" w:eastAsia="Symbol" w:cs="Symbol"/>
        <w:color w:val="2b2d31"/>
        <w:sz w:val="21"/>
      </w:rPr>
    </w:lvl>
    <w:lvl w:ilvl="6">
      <w:start w:val="1"/>
      <w:numFmt w:val="bullet"/>
      <w:isLgl w:val="false"/>
      <w:suff w:val="tab"/>
      <w:lvlText w:val="·"/>
      <w:lvlJc w:val="left"/>
      <w:pPr>
        <w:ind w:left="5029" w:hanging="360"/>
      </w:pPr>
      <w:rPr>
        <w:rFonts w:hint="default" w:ascii="Symbol" w:hAnsi="Symbol" w:eastAsia="Symbol" w:cs="Symbol"/>
        <w:color w:val="2b2d31"/>
        <w:sz w:val="21"/>
      </w:rPr>
    </w:lvl>
    <w:lvl w:ilvl="7">
      <w:start w:val="1"/>
      <w:numFmt w:val="bullet"/>
      <w:isLgl w:val="false"/>
      <w:suff w:val="tab"/>
      <w:lvlText w:val="·"/>
      <w:lvlJc w:val="left"/>
      <w:pPr>
        <w:ind w:left="5749" w:hanging="360"/>
      </w:pPr>
      <w:rPr>
        <w:rFonts w:hint="default" w:ascii="Symbol" w:hAnsi="Symbol" w:eastAsia="Symbol" w:cs="Symbol"/>
        <w:color w:val="2b2d31"/>
        <w:sz w:val="21"/>
      </w:rPr>
    </w:lvl>
    <w:lvl w:ilvl="8">
      <w:start w:val="1"/>
      <w:numFmt w:val="bullet"/>
      <w:isLgl w:val="false"/>
      <w:suff w:val="tab"/>
      <w:lvlText w:val="·"/>
      <w:lvlJc w:val="left"/>
      <w:pPr>
        <w:ind w:left="6469" w:hanging="360"/>
      </w:pPr>
      <w:rPr>
        <w:rFonts w:hint="default" w:ascii="Symbol" w:hAnsi="Symbol" w:eastAsia="Symbol" w:cs="Symbol"/>
        <w:color w:val="2b2d31"/>
        <w:sz w:val="21"/>
      </w:rPr>
    </w:lvl>
  </w:abstractNum>
  <w:abstractNum w:abstractNumId="2">
    <w:multiLevelType w:val="hybridMultilevel"/>
    <w:lvl w:ilvl="0">
      <w:start w:val="1"/>
      <w:numFmt w:val="decimal"/>
      <w:isLgl w:val="false"/>
      <w:suff w:val="tab"/>
      <w:lvlText w:val="%1."/>
      <w:lvlJc w:val="right"/>
      <w:pPr>
        <w:ind w:left="709" w:hanging="360"/>
      </w:pPr>
      <w:rPr>
        <w:rFonts w:ascii="Arial" w:hAnsi="Arial" w:eastAsia="Arial" w:cs="Arial"/>
        <w:color w:val="2b2d31"/>
        <w:sz w:val="21"/>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3">
    <w:multiLevelType w:val="hybridMultilevel"/>
    <w:lvl w:ilvl="0">
      <w:start w:val="1"/>
      <w:numFmt w:val="decimal"/>
      <w:isLgl w:val="false"/>
      <w:suff w:val="tab"/>
      <w:lvlText w:val="%1."/>
      <w:lvlJc w:val="right"/>
      <w:pPr>
        <w:ind w:left="709" w:hanging="360"/>
      </w:pPr>
      <w:rPr>
        <w:rFonts w:ascii="Arial" w:hAnsi="Arial" w:eastAsia="Arial" w:cs="Arial"/>
        <w:color w:val="2b2d31"/>
        <w:sz w:val="21"/>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7"/>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7"/>
    <w:next w:val="61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table" w:styleId="618" w:default="1">
    <w:name w:val="Normal Table"/>
    <w:uiPriority w:val="99"/>
    <w:semiHidden/>
    <w:unhideWhenUsed/>
    <w:tblPr>
      <w:tblInd w:w="0" w:type="dxa"/>
      <w:tblCellMar>
        <w:left w:w="108" w:type="dxa"/>
        <w:top w:w="0" w:type="dxa"/>
        <w:right w:w="108" w:type="dxa"/>
        <w:bottom w:w="0" w:type="dxa"/>
      </w:tblCellMar>
    </w:tblPr>
  </w:style>
  <w:style w:type="numbering" w:styleId="619" w:default="1">
    <w:name w:val="No List"/>
    <w:uiPriority w:val="99"/>
    <w:semiHidden/>
    <w:unhideWhenUsed/>
  </w:style>
  <w:style w:type="paragraph" w:styleId="620">
    <w:name w:val="No Spacing"/>
    <w:basedOn w:val="617"/>
    <w:uiPriority w:val="1"/>
    <w:qFormat/>
    <w:pPr>
      <w:spacing w:after="0" w:line="240" w:lineRule="auto"/>
    </w:pPr>
  </w:style>
  <w:style w:type="paragraph" w:styleId="621">
    <w:name w:val="List Paragraph"/>
    <w:basedOn w:val="617"/>
    <w:uiPriority w:val="34"/>
    <w:qFormat/>
    <w:pPr>
      <w:contextualSpacing/>
      <w:ind w:left="720"/>
    </w:pPr>
  </w:style>
  <w:style w:type="character" w:styleId="626"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Р7-Офис/2024.4.1.630</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1</cp:revision>
  <dcterms:modified xsi:type="dcterms:W3CDTF">2026-04-07T11:24:52Z</dcterms:modified>
</cp:coreProperties>
</file>