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ПРОБЛЕМНОЕ ОБУЧЕНИЕ В ФОРМИРОВАНИИ ПОЗНАВАТЕЛЬНОГО ИНТЕРЕСА НА УРОКАХ ХИМИИ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Костищина Р.Р.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Студентка 4 курса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Научный руководитель: Езлю Фатима Нурбиевна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Старший преподаватель кафедры химии,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Проблемное обучение — это педагогическая технология, основанная на создании учителем системы проблемных ситуаций и управлении деятельностью учащихся по их самостоятельному разрешению. В условиях падения интереса школьников к естественнонаучным дисциплинам использование проблемных методов на уроках химии становится ключевым инструментом активизации мыслительной деятельности. Актуальность данной темы обусловлена противоречием между высоким развивающим потенциалом химии как науки и формальным, репродуктивным характером её изучения в школе. Применение проблемного подхода позволяет перевести ученика из позиции пассивного слушателя в позицию исследователя, что напрямую влияет на глубину и устойчивость познавательного интереса.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Степень разработанности проблемы. Теоретические основы проблемного обучения были заложены в трудах Дж. Дьюи, а в отечественной педагогике глубоко разработаны И.Я. Лернером, М.И. Махмутовым и А.М. Матюшкиным. Методические аспекты применения проблемных ситуаций на уроках химии освещены в работах Г.М. Чернобельской, О.С. Зайцева и М.С. Пак . Учеными выделены типы проблемных задач (расчетные, качественные, экспериментальные) и уровни проблемности. Однако, несмотря на доказанную эффективность, массовая школьная практика показывает недостаточное системное использование данной технологии, особенно на этапе мотивации и изучения нового материала.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Целью работы является изучение влияния технологии проблемного обучения на формирование познавательного интереса учащихся при изучении химии.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Для достижения поставленной цели решались следующие задачи: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Раскрыть сущность проблемного обучения и психолого-педагогические механизмы формирования познавательного интереса.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Проанализировать методические приемы создания проблемных ситуаций на разных этапах урока химии.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Выявить специфику использования химического эксперимента как средства постановки учебной проблемы.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Оценить влияние проблемного подхода на прочность усвоения знаний и развитие мотивации учения.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Методы исследования. В работе использован метод теоретического анализа и обобщения педагогической, психологической и методической литературы по проблеме исследования. Проанализированы публикации в журналах «Химия в школе», «Педагогика», а также диссертационные исследования последних лет, касающиеся инновационных образовательных технологий в естественнонаучном цикле.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Научные результаты и выводы. Проблемное обучение реализуется через три основных звена: создание проблемной ситуации, формулирование гипотез и их экспериментальная или логическая проверка. В отличие от традиционного объяснительно-иллюстративного подхода, оно задействует внутренние механизмы мышления, вызывая интеллектуальное затруднение и потребность в поиске.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В курсе химии выделены эффективные способы создания проблемных ситуаций: столкновение учащихся с противоречием между известным фактом и новыми условиями (например, взаимодействие металлов с растворами солей и правило электрохимического ряда напряжений), использование демонстрационного эксперимента с неожиданным результатом (окисление органических веществ концентрированной серной кислотой), решение задач с избыточными или недостающими данными.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Особое место занимает химический эксперимент исследовательского характера. Он перестает быть простой иллюстрацией слов учителя и становится источником гипотез. Показано, что организация лабораторных работ по схеме «наблюдаем аномалию — выдвигаем предположение — проверяем опытом» значительно повышает эмоциональную вовлеченность учеников и способствует переходу от внешней занимательности к глубокому познавательному интересу.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Формирование познавательного интереса при проблемном обучении происходит за счет удовлетворения потребности в преодолении трудности. Полученное в результате поиска знание усваивается не как готовая информация, а как личностное открытие. Это влияет на развитие критического мышления и естественнонаучной грамотности.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Перспективными направлениями являются: интеграция проблемного обучения с цифровыми лабораториями по химии, использование кейс-технологий на основе реальных технологических или экологических проблем, а также дифференциация проблемных заданий по уровням сложности для учащихся с разной степенью подготовки.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Таким образом, системное применение проблемного обучения на уроках химии трансформирует учебный процесс из рутинного заучивания формул и уравнений в увлекательную интеллектуальную деятельность. Это является важнейшим условием не только повышения качества знаний по предмету, но и развития устойчивого познавательного интереса, необходимого для будущей профессиональной ориентации школьников в области естественных наук.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 Зайцев О.С. Методика обучения химии: Теоретический и прикладной аспекты. — М.: ВЛАДОС, 2022. — 384 с.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Матюшкин А.М. Психология мышления. Мышление как разрешение проблемных ситуаций. — М.: КДУ, 2021. — 190 с.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Пак М.С. Дидактика химии: становление и развитие. — СПб.: Изд-во РГПУ им. А.И. Герцена, 2023. — 256 с.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 Селевко Г.К. Энциклопедия образовательных технологий. В 2-х т. Т. 1. — М.: Народное образование, 2022. — 816 с.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 Чернобельская Г.М., Дементьева О.Ю. Проблемное обучение как средство развития познавательной активности учащихся на уроках химии // Химия в школе. — 2024. — № 1. — С. 23–29.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