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DC4A" w14:textId="77777777" w:rsidR="00232D0E" w:rsidRPr="00232D0E" w:rsidRDefault="00232D0E" w:rsidP="00232D0E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8"/>
        </w:rPr>
      </w:pPr>
      <w:r w:rsidRPr="00232D0E">
        <w:rPr>
          <w:rFonts w:ascii="Times New Roman" w:hAnsi="Times New Roman" w:cs="Times New Roman"/>
          <w:sz w:val="28"/>
        </w:rPr>
        <w:t>Актуальность исследования обусловлена растущим влиянием жанра фэнтези в мировой культуре и необходимостью системного анализа вторичных миров как самостоятельных культурных феноменов, формирующих ценностные ориентиры и эстетические предпочтения аудитории.</w:t>
      </w:r>
    </w:p>
    <w:p w14:paraId="4D6CE15E" w14:textId="77777777" w:rsidR="00232D0E" w:rsidRPr="00232D0E" w:rsidRDefault="00232D0E" w:rsidP="00232D0E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8"/>
        </w:rPr>
      </w:pPr>
      <w:r w:rsidRPr="00232D0E">
        <w:rPr>
          <w:rFonts w:ascii="Times New Roman" w:hAnsi="Times New Roman" w:cs="Times New Roman"/>
          <w:sz w:val="28"/>
        </w:rPr>
        <w:t>Вторичный мир — не просто фон повествования, а сложная, автономная художественная реальность, обладающая внутренней логикой, целостностью, собственной историей, географией, культурой и системой языковых средств.</w:t>
      </w:r>
    </w:p>
    <w:p w14:paraId="650EAEDC" w14:textId="77777777" w:rsidR="00232D0E" w:rsidRPr="00232D0E" w:rsidRDefault="00232D0E" w:rsidP="00232D0E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8"/>
        </w:rPr>
      </w:pPr>
      <w:r w:rsidRPr="00232D0E">
        <w:rPr>
          <w:rFonts w:ascii="Times New Roman" w:hAnsi="Times New Roman" w:cs="Times New Roman"/>
          <w:sz w:val="28"/>
        </w:rPr>
        <w:t xml:space="preserve">Теоретическая база концепции вторичного мира впервые системно обоснована Дж. Р. Р. </w:t>
      </w:r>
      <w:proofErr w:type="spellStart"/>
      <w:r w:rsidRPr="00232D0E">
        <w:rPr>
          <w:rFonts w:ascii="Times New Roman" w:hAnsi="Times New Roman" w:cs="Times New Roman"/>
          <w:sz w:val="28"/>
        </w:rPr>
        <w:t>Толкином</w:t>
      </w:r>
      <w:proofErr w:type="spellEnd"/>
      <w:r w:rsidRPr="00232D0E">
        <w:rPr>
          <w:rFonts w:ascii="Times New Roman" w:hAnsi="Times New Roman" w:cs="Times New Roman"/>
          <w:sz w:val="28"/>
        </w:rPr>
        <w:t>, который определил его как результат авторского мифотворчества, отражающего христианскую идею творения и удовлетворяющего глубинную потребность человека в чуде и утешении.</w:t>
      </w:r>
    </w:p>
    <w:p w14:paraId="7F571458" w14:textId="77777777" w:rsidR="00232D0E" w:rsidRPr="00232D0E" w:rsidRDefault="00232D0E" w:rsidP="00232D0E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8"/>
        </w:rPr>
      </w:pPr>
      <w:r w:rsidRPr="00232D0E">
        <w:rPr>
          <w:rFonts w:ascii="Times New Roman" w:hAnsi="Times New Roman" w:cs="Times New Roman"/>
          <w:sz w:val="28"/>
        </w:rPr>
        <w:t>Ключевые функции вторичного мира в фэнтези включают: эстетическую (создание уникальной атмосферы), когнитивную (моделирование альтернативных реальностей), символическую (передача смыслов через архетипы и мифологемы), социально-критическую (рефлексия над реальными проблемами) и психологическую (обеспечение эффекта погружения и эмпатии).</w:t>
      </w:r>
    </w:p>
    <w:p w14:paraId="4AB47FC9" w14:textId="77777777" w:rsidR="00232D0E" w:rsidRPr="00232D0E" w:rsidRDefault="00232D0E" w:rsidP="00232D0E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8"/>
        </w:rPr>
      </w:pPr>
      <w:r w:rsidRPr="00232D0E">
        <w:rPr>
          <w:rFonts w:ascii="Times New Roman" w:hAnsi="Times New Roman" w:cs="Times New Roman"/>
          <w:sz w:val="28"/>
        </w:rPr>
        <w:t>Структурными элементами вторичного мира являются: мифологическая вертикаль (сакральные центры) и горизонталь (географическое движение), дихотомия эмпирического и мифологического времени, магические системы, ономастическое пространство, искусственные языки и культурные коды.</w:t>
      </w:r>
    </w:p>
    <w:p w14:paraId="099719C4" w14:textId="77777777" w:rsidR="00232D0E" w:rsidRPr="00232D0E" w:rsidRDefault="00232D0E" w:rsidP="00232D0E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8"/>
        </w:rPr>
      </w:pPr>
      <w:r w:rsidRPr="00232D0E">
        <w:rPr>
          <w:rFonts w:ascii="Times New Roman" w:hAnsi="Times New Roman" w:cs="Times New Roman"/>
          <w:sz w:val="28"/>
        </w:rPr>
        <w:t xml:space="preserve">В творчестве </w:t>
      </w:r>
      <w:proofErr w:type="spellStart"/>
      <w:r w:rsidRPr="00232D0E">
        <w:rPr>
          <w:rFonts w:ascii="Times New Roman" w:hAnsi="Times New Roman" w:cs="Times New Roman"/>
          <w:sz w:val="28"/>
        </w:rPr>
        <w:t>Толкина</w:t>
      </w:r>
      <w:proofErr w:type="spellEnd"/>
      <w:r w:rsidRPr="00232D0E">
        <w:rPr>
          <w:rFonts w:ascii="Times New Roman" w:hAnsi="Times New Roman" w:cs="Times New Roman"/>
          <w:sz w:val="28"/>
        </w:rPr>
        <w:t xml:space="preserve"> вторичный мир (</w:t>
      </w:r>
      <w:proofErr w:type="spellStart"/>
      <w:r w:rsidRPr="00232D0E">
        <w:rPr>
          <w:rFonts w:ascii="Times New Roman" w:hAnsi="Times New Roman" w:cs="Times New Roman"/>
          <w:sz w:val="28"/>
        </w:rPr>
        <w:t>Средиземье</w:t>
      </w:r>
      <w:proofErr w:type="spellEnd"/>
      <w:r w:rsidRPr="00232D0E">
        <w:rPr>
          <w:rFonts w:ascii="Times New Roman" w:hAnsi="Times New Roman" w:cs="Times New Roman"/>
          <w:sz w:val="28"/>
        </w:rPr>
        <w:t>) строится по принципу «семейного древа» на основе европейской мифологии и христианской космогонии, отличается моральной ясностью, глубокой языковой проработкой и исторической плотностью, что делает его эталоном классического фэнтези.</w:t>
      </w:r>
    </w:p>
    <w:p w14:paraId="04C41C38" w14:textId="77777777" w:rsidR="00232D0E" w:rsidRPr="00232D0E" w:rsidRDefault="00232D0E" w:rsidP="00232D0E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8"/>
        </w:rPr>
      </w:pPr>
      <w:r w:rsidRPr="00232D0E">
        <w:rPr>
          <w:rFonts w:ascii="Times New Roman" w:hAnsi="Times New Roman" w:cs="Times New Roman"/>
          <w:sz w:val="28"/>
        </w:rPr>
        <w:t xml:space="preserve">В творчестве Мартина вторичный мир («Песнь льда и пламени») ориентирован на исторический реализм позднего средневековья, характеризуется этическим релятивизмом, социально-политической многослойностью, фрагментарной географией и </w:t>
      </w:r>
      <w:proofErr w:type="spellStart"/>
      <w:r w:rsidRPr="00232D0E">
        <w:rPr>
          <w:rFonts w:ascii="Times New Roman" w:hAnsi="Times New Roman" w:cs="Times New Roman"/>
          <w:sz w:val="28"/>
        </w:rPr>
        <w:t>постклассической</w:t>
      </w:r>
      <w:proofErr w:type="spellEnd"/>
      <w:r w:rsidRPr="00232D0E">
        <w:rPr>
          <w:rFonts w:ascii="Times New Roman" w:hAnsi="Times New Roman" w:cs="Times New Roman"/>
          <w:sz w:val="28"/>
        </w:rPr>
        <w:t xml:space="preserve"> многоголосой нарративной структурой.</w:t>
      </w:r>
    </w:p>
    <w:p w14:paraId="727B43AB" w14:textId="77777777" w:rsidR="00232D0E" w:rsidRPr="00232D0E" w:rsidRDefault="00232D0E" w:rsidP="00232D0E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8"/>
        </w:rPr>
      </w:pPr>
      <w:r w:rsidRPr="00232D0E">
        <w:rPr>
          <w:rFonts w:ascii="Times New Roman" w:hAnsi="Times New Roman" w:cs="Times New Roman"/>
          <w:sz w:val="28"/>
        </w:rPr>
        <w:t xml:space="preserve">Сравнительный анализ показывает эволюцию жанра: от мифологизированной, упорядоченной вселенной </w:t>
      </w:r>
      <w:proofErr w:type="spellStart"/>
      <w:r w:rsidRPr="00232D0E">
        <w:rPr>
          <w:rFonts w:ascii="Times New Roman" w:hAnsi="Times New Roman" w:cs="Times New Roman"/>
          <w:sz w:val="28"/>
        </w:rPr>
        <w:t>Толкина</w:t>
      </w:r>
      <w:proofErr w:type="spellEnd"/>
      <w:r w:rsidRPr="00232D0E">
        <w:rPr>
          <w:rFonts w:ascii="Times New Roman" w:hAnsi="Times New Roman" w:cs="Times New Roman"/>
          <w:sz w:val="28"/>
        </w:rPr>
        <w:t xml:space="preserve"> с бинарной оппозицией добра и зла — к сложному, динамичному и этически неоднозначному миру Мартина, где магия подчинена прагматике власти и социальным конфликтам.</w:t>
      </w:r>
    </w:p>
    <w:p w14:paraId="7DDFE137" w14:textId="77777777" w:rsidR="00232D0E" w:rsidRPr="00232D0E" w:rsidRDefault="00232D0E" w:rsidP="00232D0E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8"/>
        </w:rPr>
      </w:pPr>
      <w:r w:rsidRPr="00232D0E">
        <w:rPr>
          <w:rFonts w:ascii="Times New Roman" w:hAnsi="Times New Roman" w:cs="Times New Roman"/>
          <w:sz w:val="28"/>
        </w:rPr>
        <w:t xml:space="preserve">Языковые средства у </w:t>
      </w:r>
      <w:proofErr w:type="spellStart"/>
      <w:r w:rsidRPr="00232D0E">
        <w:rPr>
          <w:rFonts w:ascii="Times New Roman" w:hAnsi="Times New Roman" w:cs="Times New Roman"/>
          <w:sz w:val="28"/>
        </w:rPr>
        <w:t>Толкина</w:t>
      </w:r>
      <w:proofErr w:type="spellEnd"/>
      <w:r w:rsidRPr="00232D0E">
        <w:rPr>
          <w:rFonts w:ascii="Times New Roman" w:hAnsi="Times New Roman" w:cs="Times New Roman"/>
          <w:sz w:val="28"/>
        </w:rPr>
        <w:t xml:space="preserve"> выполняют мифотворческую и эстетическую функции, формируя культурную идентичность мира; у Мартина они служат символизации политических процессов и инструментом взаимодействия с читателем в современном </w:t>
      </w:r>
      <w:proofErr w:type="spellStart"/>
      <w:r w:rsidRPr="00232D0E">
        <w:rPr>
          <w:rFonts w:ascii="Times New Roman" w:hAnsi="Times New Roman" w:cs="Times New Roman"/>
          <w:sz w:val="28"/>
        </w:rPr>
        <w:t>медиаконтексте</w:t>
      </w:r>
      <w:proofErr w:type="spellEnd"/>
      <w:r w:rsidRPr="00232D0E">
        <w:rPr>
          <w:rFonts w:ascii="Times New Roman" w:hAnsi="Times New Roman" w:cs="Times New Roman"/>
          <w:sz w:val="28"/>
        </w:rPr>
        <w:t>.</w:t>
      </w:r>
    </w:p>
    <w:p w14:paraId="10D002FB" w14:textId="77777777" w:rsidR="00232D0E" w:rsidRPr="00232D0E" w:rsidRDefault="00232D0E" w:rsidP="00232D0E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8"/>
        </w:rPr>
      </w:pPr>
      <w:r w:rsidRPr="00232D0E">
        <w:rPr>
          <w:rFonts w:ascii="Times New Roman" w:hAnsi="Times New Roman" w:cs="Times New Roman"/>
          <w:sz w:val="28"/>
        </w:rPr>
        <w:lastRenderedPageBreak/>
        <w:t>Интегративная модель построения вторичного мира включает: внутреннюю логику и целостность, уникальную ономастику, баланс мифологического и исторического контекстов, язык как средство культурной идентификации и адаптацию этических принципов под социокультурные запросы аудитории.</w:t>
      </w:r>
    </w:p>
    <w:p w14:paraId="170EFE60" w14:textId="77777777" w:rsidR="00232D0E" w:rsidRPr="00232D0E" w:rsidRDefault="00232D0E" w:rsidP="00232D0E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8"/>
        </w:rPr>
      </w:pPr>
      <w:r w:rsidRPr="00232D0E">
        <w:rPr>
          <w:rFonts w:ascii="Times New Roman" w:hAnsi="Times New Roman" w:cs="Times New Roman"/>
          <w:sz w:val="28"/>
        </w:rPr>
        <w:t xml:space="preserve">Перспективы исследования вторичных миров лежат в области </w:t>
      </w:r>
      <w:proofErr w:type="spellStart"/>
      <w:r w:rsidRPr="00232D0E">
        <w:rPr>
          <w:rFonts w:ascii="Times New Roman" w:hAnsi="Times New Roman" w:cs="Times New Roman"/>
          <w:sz w:val="28"/>
        </w:rPr>
        <w:t>междисциплинарности</w:t>
      </w:r>
      <w:proofErr w:type="spellEnd"/>
      <w:r w:rsidRPr="00232D0E">
        <w:rPr>
          <w:rFonts w:ascii="Times New Roman" w:hAnsi="Times New Roman" w:cs="Times New Roman"/>
          <w:sz w:val="28"/>
        </w:rPr>
        <w:t>, интеграции новых медиа (кино, сериалы, компьютерные игры) и разработки теоретико-практических моделей, позволяющих анализировать эволюцию жанра в ответ на современные культурные и технологические вызовы.</w:t>
      </w:r>
    </w:p>
    <w:p w14:paraId="35415C47" w14:textId="77777777" w:rsidR="00BC594C" w:rsidRPr="00232D0E" w:rsidRDefault="00232D0E" w:rsidP="00232D0E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8"/>
        </w:rPr>
      </w:pPr>
      <w:r w:rsidRPr="00232D0E">
        <w:rPr>
          <w:rFonts w:ascii="Times New Roman" w:hAnsi="Times New Roman" w:cs="Times New Roman"/>
          <w:sz w:val="28"/>
        </w:rPr>
        <w:t xml:space="preserve">Практическая значимость работы заключается в возможности использования её результатов в учебных курсах по теории литературы, истории жанров, культурологии и </w:t>
      </w:r>
      <w:proofErr w:type="spellStart"/>
      <w:r w:rsidRPr="00232D0E">
        <w:rPr>
          <w:rFonts w:ascii="Times New Roman" w:hAnsi="Times New Roman" w:cs="Times New Roman"/>
          <w:sz w:val="28"/>
        </w:rPr>
        <w:t>меди</w:t>
      </w:r>
      <w:bookmarkStart w:id="0" w:name="_GoBack"/>
      <w:bookmarkEnd w:id="0"/>
      <w:r w:rsidRPr="00232D0E">
        <w:rPr>
          <w:rFonts w:ascii="Times New Roman" w:hAnsi="Times New Roman" w:cs="Times New Roman"/>
          <w:sz w:val="28"/>
        </w:rPr>
        <w:t>аисследованиям</w:t>
      </w:r>
      <w:proofErr w:type="spellEnd"/>
      <w:r w:rsidRPr="00232D0E">
        <w:rPr>
          <w:rFonts w:ascii="Times New Roman" w:hAnsi="Times New Roman" w:cs="Times New Roman"/>
          <w:sz w:val="28"/>
        </w:rPr>
        <w:t>.</w:t>
      </w:r>
    </w:p>
    <w:sectPr w:rsidR="00BC594C" w:rsidRPr="0023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E0F1F"/>
    <w:multiLevelType w:val="hybridMultilevel"/>
    <w:tmpl w:val="AE86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79B6"/>
    <w:multiLevelType w:val="hybridMultilevel"/>
    <w:tmpl w:val="9E8CE768"/>
    <w:lvl w:ilvl="0" w:tplc="D08C4A52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0E"/>
    <w:rsid w:val="00232D0E"/>
    <w:rsid w:val="00B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F0A7"/>
  <w15:chartTrackingRefBased/>
  <w15:docId w15:val="{13687E9B-5E9F-483B-B3D5-693D0643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Новикова</dc:creator>
  <cp:keywords/>
  <dc:description/>
  <cp:lastModifiedBy>Анастасия Новикова</cp:lastModifiedBy>
  <cp:revision>1</cp:revision>
  <dcterms:created xsi:type="dcterms:W3CDTF">2026-04-10T06:39:00Z</dcterms:created>
  <dcterms:modified xsi:type="dcterms:W3CDTF">2026-04-10T06:41:00Z</dcterms:modified>
</cp:coreProperties>
</file>