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E988" w14:textId="77777777" w:rsidR="00C93B63" w:rsidRPr="00C93B63" w:rsidRDefault="00C93B63" w:rsidP="00C93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B63">
        <w:rPr>
          <w:rFonts w:ascii="Times New Roman" w:hAnsi="Times New Roman" w:cs="Times New Roman"/>
          <w:b/>
          <w:bCs/>
          <w:sz w:val="24"/>
          <w:szCs w:val="24"/>
        </w:rPr>
        <w:t>Административно-правовое регулирование экологии и «зеленой экономики: новые инструменты госуправления.</w:t>
      </w:r>
    </w:p>
    <w:p w14:paraId="755FCB5D" w14:textId="42DB47B1" w:rsidR="00794BFE" w:rsidRPr="00C93B63" w:rsidRDefault="00664B6C" w:rsidP="00C93B63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93B63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794BFE" w:rsidRPr="00C93B63">
        <w:rPr>
          <w:rFonts w:ascii="Times New Roman" w:hAnsi="Times New Roman" w:cs="Times New Roman"/>
          <w:i/>
          <w:iCs/>
          <w:sz w:val="24"/>
          <w:szCs w:val="24"/>
        </w:rPr>
        <w:t>евченко А.Р.</w:t>
      </w:r>
    </w:p>
    <w:p w14:paraId="770996C8" w14:textId="419AE8DB" w:rsidR="00794BFE" w:rsidRPr="00C93B63" w:rsidRDefault="00794BFE" w:rsidP="00C93B6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93B63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</w:t>
      </w:r>
      <w:r w:rsidR="00C93B63" w:rsidRPr="00C93B63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4F8B1FE9" w14:textId="3879F233" w:rsidR="00794BFE" w:rsidRPr="00C93B63" w:rsidRDefault="00794BFE" w:rsidP="00C93B6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93B63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 </w:t>
      </w:r>
      <w:r w:rsidR="00C93B63" w:rsidRPr="00C93B63">
        <w:rPr>
          <w:rFonts w:ascii="Times New Roman" w:hAnsi="Times New Roman" w:cs="Times New Roman"/>
          <w:i/>
          <w:iCs/>
          <w:sz w:val="24"/>
          <w:szCs w:val="24"/>
        </w:rPr>
        <w:t xml:space="preserve">Поддубный А.О., </w:t>
      </w:r>
      <w:proofErr w:type="spellStart"/>
      <w:r w:rsidR="00C93B63" w:rsidRPr="00C93B63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C93B6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93B63" w:rsidRPr="00C93B63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C93B63">
        <w:rPr>
          <w:rFonts w:ascii="Times New Roman" w:hAnsi="Times New Roman" w:cs="Times New Roman"/>
          <w:i/>
          <w:iCs/>
          <w:sz w:val="24"/>
          <w:szCs w:val="24"/>
        </w:rPr>
        <w:t>.н</w:t>
      </w:r>
      <w:proofErr w:type="spellEnd"/>
      <w:r w:rsidRPr="00C93B63">
        <w:rPr>
          <w:rFonts w:ascii="Times New Roman" w:hAnsi="Times New Roman" w:cs="Times New Roman"/>
          <w:i/>
          <w:iCs/>
          <w:sz w:val="24"/>
          <w:szCs w:val="24"/>
        </w:rPr>
        <w:t xml:space="preserve">., доцент </w:t>
      </w:r>
    </w:p>
    <w:p w14:paraId="3EA51B85" w14:textId="77777777" w:rsidR="00C93B63" w:rsidRPr="00C93B63" w:rsidRDefault="00C93B63" w:rsidP="00C93B6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93B63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4D862DA5" w14:textId="4DE0CC96" w:rsidR="00842378" w:rsidRPr="00C93B63" w:rsidRDefault="00842378" w:rsidP="00C93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B63">
        <w:rPr>
          <w:rFonts w:ascii="Times New Roman" w:hAnsi="Times New Roman" w:cs="Times New Roman"/>
          <w:sz w:val="24"/>
          <w:szCs w:val="24"/>
        </w:rPr>
        <w:t xml:space="preserve">Административно-правовое регулирование экологии и «зеленой» экономики является одним из </w:t>
      </w:r>
      <w:r w:rsidR="00153AEC" w:rsidRPr="00C93B63">
        <w:rPr>
          <w:rFonts w:ascii="Times New Roman" w:hAnsi="Times New Roman" w:cs="Times New Roman"/>
          <w:sz w:val="24"/>
          <w:szCs w:val="24"/>
        </w:rPr>
        <w:t xml:space="preserve">наиболее важных </w:t>
      </w:r>
      <w:r w:rsidRPr="00C93B63">
        <w:rPr>
          <w:rFonts w:ascii="Times New Roman" w:hAnsi="Times New Roman" w:cs="Times New Roman"/>
          <w:sz w:val="24"/>
          <w:szCs w:val="24"/>
        </w:rPr>
        <w:t xml:space="preserve">направлений современного государственного управления. Его </w:t>
      </w:r>
      <w:r w:rsidR="00153AEC" w:rsidRPr="00C93B63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C93B63">
        <w:rPr>
          <w:rFonts w:ascii="Times New Roman" w:hAnsi="Times New Roman" w:cs="Times New Roman"/>
          <w:sz w:val="24"/>
          <w:szCs w:val="24"/>
        </w:rPr>
        <w:t>состоит не только в установлении обязательных экологических требований, но и в создании условий для перехода к устойчиво</w:t>
      </w:r>
      <w:r w:rsidR="00C93B63">
        <w:rPr>
          <w:rFonts w:ascii="Times New Roman" w:hAnsi="Times New Roman" w:cs="Times New Roman"/>
          <w:sz w:val="24"/>
          <w:szCs w:val="24"/>
        </w:rPr>
        <w:t>му</w:t>
      </w:r>
      <w:r w:rsidR="00F048A4" w:rsidRPr="00C93B63">
        <w:rPr>
          <w:rFonts w:ascii="Times New Roman" w:hAnsi="Times New Roman" w:cs="Times New Roman"/>
          <w:sz w:val="24"/>
          <w:szCs w:val="24"/>
        </w:rPr>
        <w:t xml:space="preserve"> </w:t>
      </w:r>
      <w:r w:rsidRPr="00C93B63">
        <w:rPr>
          <w:rFonts w:ascii="Times New Roman" w:hAnsi="Times New Roman" w:cs="Times New Roman"/>
          <w:sz w:val="24"/>
          <w:szCs w:val="24"/>
        </w:rPr>
        <w:t>развития, основанной на рациональном природопользовании, снижении загрязнения и внедрении экологически безопасных технологий.</w:t>
      </w:r>
      <w:r w:rsidR="00457A89" w:rsidRPr="00457A89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457A89">
        <w:rPr>
          <w:rFonts w:ascii="Arial" w:hAnsi="Arial" w:cs="Arial"/>
          <w:color w:val="1A1A1A"/>
          <w:shd w:val="clear" w:color="auto" w:fill="FFFFFF"/>
        </w:rPr>
        <w:t>[1][6]</w:t>
      </w:r>
    </w:p>
    <w:p w14:paraId="2F91F207" w14:textId="1F9DD514" w:rsidR="00842378" w:rsidRPr="00C93B63" w:rsidRDefault="00EF612B" w:rsidP="00C93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B63">
        <w:rPr>
          <w:rFonts w:ascii="Times New Roman" w:hAnsi="Times New Roman" w:cs="Times New Roman"/>
          <w:sz w:val="24"/>
          <w:szCs w:val="24"/>
        </w:rPr>
        <w:t>Административно-правовая основа опирается на Федеральный закон №7-ФЗ «Об охране окружающей среды» от 2002 года, который устанавливает полномочия органов власти, нормативы и контроль за экологическими отношениями. Государство применяет меры государственного и общественного надзора, включая лицензирование и ответственность за нарушения. Это обеспечивает баланс между экономическим ростом и охраной природы.</w:t>
      </w:r>
    </w:p>
    <w:p w14:paraId="7961CA35" w14:textId="1A498F33" w:rsidR="00F048A4" w:rsidRPr="00C93B63" w:rsidRDefault="00F048A4" w:rsidP="00C93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B63">
        <w:rPr>
          <w:rFonts w:ascii="Times New Roman" w:hAnsi="Times New Roman" w:cs="Times New Roman"/>
          <w:sz w:val="24"/>
          <w:szCs w:val="24"/>
        </w:rPr>
        <w:t>С 1 июля 2025 года введено льготное кредитование зеленых проектов: банки снижают риск-вес на 10</w:t>
      </w:r>
      <w:r w:rsidR="00C93B63">
        <w:rPr>
          <w:rFonts w:ascii="Times New Roman" w:hAnsi="Times New Roman" w:cs="Times New Roman"/>
          <w:sz w:val="24"/>
          <w:szCs w:val="24"/>
        </w:rPr>
        <w:t>-</w:t>
      </w:r>
      <w:r w:rsidRPr="00C93B63">
        <w:rPr>
          <w:rFonts w:ascii="Times New Roman" w:hAnsi="Times New Roman" w:cs="Times New Roman"/>
          <w:sz w:val="24"/>
          <w:szCs w:val="24"/>
        </w:rPr>
        <w:t>50%, высвобождая капитал для финансирования устойчивого развития, включая энергоэффективное строительство. Закон о микрогенерации позволяет отдавать избыток энергии от ВИЭ в сеть, с планом повышения лимита до 150–300 кВт и упрощенным присоединением к сетям к концу 2025 года. НДТ, по ФЗ №219-ФЗ, минимизируют отходы и выбросы, с переходом на 75</w:t>
      </w:r>
      <w:r w:rsidR="00C93B63">
        <w:rPr>
          <w:rFonts w:ascii="Times New Roman" w:hAnsi="Times New Roman" w:cs="Times New Roman"/>
          <w:sz w:val="24"/>
          <w:szCs w:val="24"/>
        </w:rPr>
        <w:t>-</w:t>
      </w:r>
      <w:r w:rsidRPr="00C93B63">
        <w:rPr>
          <w:rFonts w:ascii="Times New Roman" w:hAnsi="Times New Roman" w:cs="Times New Roman"/>
          <w:sz w:val="24"/>
          <w:szCs w:val="24"/>
        </w:rPr>
        <w:t>80% снижения воздействия за 14 лет</w:t>
      </w:r>
      <w:r w:rsidR="00F3753B">
        <w:rPr>
          <w:rFonts w:ascii="Times New Roman" w:hAnsi="Times New Roman" w:cs="Times New Roman"/>
          <w:sz w:val="24"/>
          <w:szCs w:val="24"/>
        </w:rPr>
        <w:t xml:space="preserve">. </w:t>
      </w:r>
      <w:r w:rsidR="00F3753B" w:rsidRPr="00F3753B">
        <w:rPr>
          <w:rFonts w:ascii="Times New Roman" w:hAnsi="Times New Roman" w:cs="Times New Roman"/>
          <w:sz w:val="24"/>
          <w:szCs w:val="24"/>
        </w:rPr>
        <w:t>[3][4][5][6][1]</w:t>
      </w:r>
    </w:p>
    <w:p w14:paraId="0CFEBD47" w14:textId="44BE5B0A" w:rsidR="00842378" w:rsidRPr="00C93B63" w:rsidRDefault="00842378" w:rsidP="00C93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B63">
        <w:rPr>
          <w:rFonts w:ascii="Times New Roman" w:hAnsi="Times New Roman" w:cs="Times New Roman"/>
          <w:sz w:val="24"/>
          <w:szCs w:val="24"/>
        </w:rPr>
        <w:t xml:space="preserve">В современных условиях экологическая политика </w:t>
      </w:r>
      <w:r w:rsidR="00046BFC" w:rsidRPr="00C93B63">
        <w:rPr>
          <w:rFonts w:ascii="Times New Roman" w:hAnsi="Times New Roman" w:cs="Times New Roman"/>
          <w:sz w:val="24"/>
          <w:szCs w:val="24"/>
        </w:rPr>
        <w:t xml:space="preserve">обязана </w:t>
      </w:r>
      <w:r w:rsidRPr="00C93B63">
        <w:rPr>
          <w:rFonts w:ascii="Times New Roman" w:hAnsi="Times New Roman" w:cs="Times New Roman"/>
          <w:sz w:val="24"/>
          <w:szCs w:val="24"/>
        </w:rPr>
        <w:t>опираться на сочетание</w:t>
      </w:r>
      <w:r w:rsidR="00664B6C" w:rsidRPr="00C93B63">
        <w:rPr>
          <w:rFonts w:ascii="Times New Roman" w:hAnsi="Times New Roman" w:cs="Times New Roman"/>
          <w:sz w:val="24"/>
          <w:szCs w:val="24"/>
        </w:rPr>
        <w:t xml:space="preserve"> </w:t>
      </w:r>
      <w:r w:rsidRPr="00C93B63">
        <w:rPr>
          <w:rFonts w:ascii="Times New Roman" w:hAnsi="Times New Roman" w:cs="Times New Roman"/>
          <w:sz w:val="24"/>
          <w:szCs w:val="24"/>
        </w:rPr>
        <w:t>контрольно-надзорных, разрешительных, стимулирующих и профилактических механизмов. Административный метод правового регулирования предполагает установление предписаний, запретов и дозволений, а также обеспечение их исполнения мерами государственного принуждения. При этом экологическое управление включает нормирование, мониторинг, экспертизу, лицензирование, контроль и ограничение деятельности, наносящей вред окружающей среде</w:t>
      </w:r>
      <w:r w:rsidR="00457A89">
        <w:rPr>
          <w:rFonts w:ascii="Times New Roman" w:hAnsi="Times New Roman" w:cs="Times New Roman"/>
          <w:sz w:val="24"/>
          <w:szCs w:val="24"/>
        </w:rPr>
        <w:t>.</w:t>
      </w:r>
      <w:r w:rsidR="00457A89" w:rsidRPr="00457A89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457A89">
        <w:rPr>
          <w:rFonts w:ascii="Arial" w:hAnsi="Arial" w:cs="Arial"/>
          <w:color w:val="1A1A1A"/>
          <w:shd w:val="clear" w:color="auto" w:fill="FFFFFF"/>
        </w:rPr>
        <w:t>[3][10][1]</w:t>
      </w:r>
    </w:p>
    <w:p w14:paraId="34B909B3" w14:textId="161FF390" w:rsidR="00842378" w:rsidRDefault="00842378" w:rsidP="00C93B63">
      <w:pPr>
        <w:spacing w:after="0" w:line="240" w:lineRule="auto"/>
        <w:ind w:firstLine="567"/>
        <w:jc w:val="both"/>
        <w:rPr>
          <w:rFonts w:ascii="Arial" w:hAnsi="Arial" w:cs="Arial"/>
          <w:color w:val="1A1A1A"/>
          <w:shd w:val="clear" w:color="auto" w:fill="FFFFFF"/>
        </w:rPr>
      </w:pPr>
      <w:r w:rsidRPr="00C93B63">
        <w:rPr>
          <w:rFonts w:ascii="Times New Roman" w:hAnsi="Times New Roman" w:cs="Times New Roman"/>
          <w:sz w:val="24"/>
          <w:szCs w:val="24"/>
        </w:rPr>
        <w:t>Особое значение приобретают новые инструменты госуправления, связанные с цифровизацией экологического мониторинга, риск-ориентированным подходом, экологическим аудитом, прозрачной отчетностью и развитием «зеленых» стимулов для бизнеса. В научных публикациях отмечается, что эффективное регулирование «зеленой» экономики требует системной модели, объединяющей цели устойчивого развития, ключевые сферы регулирования и практические инструменты воздействия. Также подчеркивается необходимость перехода к «зеленым» государственным закупкам, реформированию субсидий и перенаправлению инвестиций в экологически ориентированные отрасли.</w:t>
      </w:r>
      <w:r w:rsidR="00457A89" w:rsidRPr="00457A89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457A89">
        <w:rPr>
          <w:rFonts w:ascii="Arial" w:hAnsi="Arial" w:cs="Arial"/>
          <w:color w:val="1A1A1A"/>
          <w:shd w:val="clear" w:color="auto" w:fill="FFFFFF"/>
        </w:rPr>
        <w:t>[2][5]</w:t>
      </w:r>
      <w:bookmarkStart w:id="0" w:name="_Hlk226653527"/>
      <w:r w:rsidR="00457A89">
        <w:rPr>
          <w:rFonts w:ascii="Arial" w:hAnsi="Arial" w:cs="Arial"/>
          <w:color w:val="1A1A1A"/>
          <w:shd w:val="clear" w:color="auto" w:fill="FFFFFF"/>
        </w:rPr>
        <w:t>[8]</w:t>
      </w:r>
      <w:bookmarkEnd w:id="0"/>
    </w:p>
    <w:p w14:paraId="3045A366" w14:textId="02F677D4" w:rsidR="000B29D3" w:rsidRDefault="005A76FF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6FF">
        <w:rPr>
          <w:rFonts w:ascii="Times New Roman" w:hAnsi="Times New Roman" w:cs="Times New Roman"/>
          <w:sz w:val="24"/>
          <w:szCs w:val="24"/>
        </w:rPr>
        <w:t>Риск-ориентированный подход представляет собой один из наиболее перспективных инструментов административного регулирования. Его суть заключается в том, что государственный контроль сосредотачивается прежде всего на тех объектах и видах деятельности, которые представляют наибольшую угрозу для экологии. Это позволяет повысить адресность надзора, сократить административную нагрузку на добросовестных хозяйствующих субъектов и одновременно обеспечить более эффективное выявление нарушений. Такой подход особенно важен в условиях ограниченности ресурсов контрольных органов и необходимости рационального распределения управленческих усилий.</w:t>
      </w:r>
      <w:r w:rsidRPr="005A76FF">
        <w:rPr>
          <w:rFonts w:ascii="Arial" w:hAnsi="Arial" w:cs="Arial"/>
          <w:color w:val="1A1A1A"/>
          <w:shd w:val="clear" w:color="auto" w:fill="FFFFFF"/>
        </w:rPr>
        <w:t xml:space="preserve"> </w:t>
      </w:r>
      <w:bookmarkStart w:id="1" w:name="_Hlk226653613"/>
      <w:r w:rsidRPr="005A76F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A76FF">
        <w:rPr>
          <w:rFonts w:ascii="Times New Roman" w:hAnsi="Times New Roman" w:cs="Times New Roman"/>
          <w:sz w:val="24"/>
          <w:szCs w:val="24"/>
        </w:rPr>
        <w:t>]</w:t>
      </w:r>
      <w:bookmarkEnd w:id="1"/>
    </w:p>
    <w:p w14:paraId="2D937141" w14:textId="27AD5893" w:rsidR="00F950F5" w:rsidRPr="00C93B63" w:rsidRDefault="00F950F5" w:rsidP="00F95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0F5">
        <w:rPr>
          <w:rFonts w:ascii="Times New Roman" w:hAnsi="Times New Roman" w:cs="Times New Roman"/>
          <w:sz w:val="24"/>
          <w:szCs w:val="24"/>
        </w:rPr>
        <w:t xml:space="preserve">Нельзя не отметить и возрастающую роль участия общества в экологическом управлении. Граждане, общественные объединения, научное сообщество и средства массовой информации становятся важными субъектами контроля за состоянием окружающей среды и реализацией природоохранных программ. Общественный контроль, экологическое просвещение и доступ к достоверной информации повышают качество государственного управления и формируют культуру экологической ответственности. В условиях </w:t>
      </w:r>
      <w:r w:rsidRPr="00F950F5">
        <w:rPr>
          <w:rFonts w:ascii="Times New Roman" w:hAnsi="Times New Roman" w:cs="Times New Roman"/>
          <w:sz w:val="24"/>
          <w:szCs w:val="24"/>
        </w:rPr>
        <w:lastRenderedPageBreak/>
        <w:t>демократизации управления именно взаимодействие государства и общества становится необходимым условием устойчивого развития.</w:t>
      </w:r>
      <w:r w:rsidR="00073E66" w:rsidRPr="00073E66">
        <w:rPr>
          <w:rFonts w:ascii="Times New Roman" w:hAnsi="Times New Roman" w:cs="Times New Roman"/>
          <w:sz w:val="24"/>
          <w:szCs w:val="24"/>
        </w:rPr>
        <w:t xml:space="preserve"> </w:t>
      </w:r>
      <w:r w:rsidR="00073E66" w:rsidRPr="00073E66">
        <w:rPr>
          <w:rFonts w:ascii="Times New Roman" w:hAnsi="Times New Roman" w:cs="Times New Roman"/>
          <w:sz w:val="24"/>
          <w:szCs w:val="24"/>
        </w:rPr>
        <w:t>[1</w:t>
      </w:r>
      <w:r w:rsidR="00073E66">
        <w:rPr>
          <w:rFonts w:ascii="Times New Roman" w:hAnsi="Times New Roman" w:cs="Times New Roman"/>
          <w:sz w:val="24"/>
          <w:szCs w:val="24"/>
        </w:rPr>
        <w:t>5</w:t>
      </w:r>
      <w:r w:rsidR="00073E66" w:rsidRPr="00073E66">
        <w:rPr>
          <w:rFonts w:ascii="Times New Roman" w:hAnsi="Times New Roman" w:cs="Times New Roman"/>
          <w:sz w:val="24"/>
          <w:szCs w:val="24"/>
        </w:rPr>
        <w:t>]</w:t>
      </w:r>
      <w:r w:rsidR="00073E66" w:rsidRPr="00073E66">
        <w:rPr>
          <w:rFonts w:ascii="Times New Roman" w:hAnsi="Times New Roman" w:cs="Times New Roman"/>
          <w:sz w:val="24"/>
          <w:szCs w:val="24"/>
        </w:rPr>
        <w:t xml:space="preserve"> </w:t>
      </w:r>
      <w:r w:rsidR="00073E66" w:rsidRPr="00073E66">
        <w:rPr>
          <w:rFonts w:ascii="Times New Roman" w:hAnsi="Times New Roman" w:cs="Times New Roman"/>
          <w:sz w:val="24"/>
          <w:szCs w:val="24"/>
        </w:rPr>
        <w:t>[</w:t>
      </w:r>
      <w:r w:rsidR="00073E66">
        <w:rPr>
          <w:rFonts w:ascii="Times New Roman" w:hAnsi="Times New Roman" w:cs="Times New Roman"/>
          <w:sz w:val="24"/>
          <w:szCs w:val="24"/>
        </w:rPr>
        <w:t>6</w:t>
      </w:r>
      <w:r w:rsidR="00073E66" w:rsidRPr="00073E66">
        <w:rPr>
          <w:rFonts w:ascii="Times New Roman" w:hAnsi="Times New Roman" w:cs="Times New Roman"/>
          <w:sz w:val="24"/>
          <w:szCs w:val="24"/>
        </w:rPr>
        <w:t>]</w:t>
      </w:r>
    </w:p>
    <w:p w14:paraId="153D559D" w14:textId="77777777" w:rsidR="00842378" w:rsidRPr="00C93B63" w:rsidRDefault="00842378" w:rsidP="00C93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B63">
        <w:rPr>
          <w:rFonts w:ascii="Times New Roman" w:hAnsi="Times New Roman" w:cs="Times New Roman"/>
          <w:sz w:val="24"/>
          <w:szCs w:val="24"/>
        </w:rPr>
        <w:t>Таким образом, административно-правовое регулирование должно эволюционировать от преимущественно запретительно-контрольной модели к комплексной системе управления, сочетающей надзор, стимулирование и партнерство государства, бизнеса и общества. Это позволит повысить эффективность экологической политики и обеспечить правовые условия для развития «зеленой» экономики.</w:t>
      </w:r>
    </w:p>
    <w:p w14:paraId="6A456BD9" w14:textId="77777777" w:rsidR="006A0B20" w:rsidRPr="00C93B63" w:rsidRDefault="006A0B20" w:rsidP="00C9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D9E14" w14:textId="6B9127BF" w:rsidR="00EB6E29" w:rsidRPr="00C93B63" w:rsidRDefault="00C93B63" w:rsidP="00C93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</w:t>
      </w:r>
      <w:r w:rsidR="00EB6E29" w:rsidRPr="00C93B63">
        <w:rPr>
          <w:rFonts w:ascii="Times New Roman" w:hAnsi="Times New Roman" w:cs="Times New Roman"/>
          <w:sz w:val="24"/>
          <w:szCs w:val="24"/>
        </w:rPr>
        <w:t>итератур</w:t>
      </w:r>
      <w:r>
        <w:rPr>
          <w:rFonts w:ascii="Times New Roman" w:hAnsi="Times New Roman" w:cs="Times New Roman"/>
          <w:sz w:val="24"/>
          <w:szCs w:val="24"/>
        </w:rPr>
        <w:t>ы:</w:t>
      </w:r>
    </w:p>
    <w:p w14:paraId="2E7F94C1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[1] Государственное регулирование системы экологического ... </w:t>
      </w:r>
      <w:hyperlink r:id="rId6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https://inter-legal.ru/gosudarstvennoe-regulirovanie-sistemy-ekologicheskogo-menedzhmenta-v-rossii</w:t>
        </w:r>
      </w:hyperlink>
    </w:p>
    <w:p w14:paraId="6F7A7FC2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[2] Административно-правовое обеспечение "зеленой" экономики в России </w:t>
      </w:r>
      <w:hyperlink r:id="rId7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https://bik.sfu-kras.ru/elib/view?id=PRSV-gopr%2F2022%2F4-886110529</w:t>
        </w:r>
      </w:hyperlink>
    </w:p>
    <w:p w14:paraId="498438E7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[3] Административно-правовое регулирование охраны окружающей ... </w:t>
      </w:r>
      <w:hyperlink r:id="rId8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https://www.lawtheses.com/administrativno-pravovoe-regulirovanie-ohrany-okruzhayuschey-sredy-v-rossiyskoy-federatsii</w:t>
        </w:r>
      </w:hyperlink>
    </w:p>
    <w:p w14:paraId="7087C078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[4] Разъяснение ключевых положений законодательства в ... </w:t>
      </w:r>
      <w:hyperlink r:id="rId9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https://konoshskoe-r29.gosweb.gosuslugi.ru/spravochnik/ekologicheskie-organizatsii/razyasnenie-klyuchevyh-polozheniy-zakonodatelstva/</w:t>
        </w:r>
      </w:hyperlink>
    </w:p>
    <w:p w14:paraId="22EFB188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[5] Правовое регулирование государственного ... </w:t>
      </w:r>
      <w:hyperlink r:id="rId10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https://35babushkinskij.gosuslugi.ru/dlya-zhiteley/novosti-i-reportazhi/novosti_2332.html</w:t>
        </w:r>
      </w:hyperlink>
    </w:p>
    <w:p w14:paraId="607A84A6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[6] Зеленая» экономика в национальном законодательстве ... </w:t>
      </w:r>
      <w:hyperlink r:id="rId11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https://lawinfo.ru/articles/11317/zelenaya-ekonomika-v-nacionalnom-zakonodatelstve-rossiiskoi-federacii-otrazenie-mezdunarodnogo-opyta</w:t>
        </w:r>
      </w:hyperlink>
    </w:p>
    <w:p w14:paraId="573FB0C4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[7] Зеленое финансирование расцветет в июле - Коммерсант </w:t>
      </w:r>
      <w:hyperlink r:id="rId12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https://www.kommersant.ru/doc/7677578</w:t>
        </w:r>
      </w:hyperlink>
    </w:p>
    <w:p w14:paraId="416D2E96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[8] Министерству энергетики поручено разработать План ... </w:t>
      </w:r>
      <w:hyperlink r:id="rId13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https://www.microgenerator.ru/minenergo-poruchen-plan-razvitiya-mikrogeneratsii-2025</w:t>
        </w:r>
      </w:hyperlink>
    </w:p>
    <w:p w14:paraId="14A1131A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[9] НДТ - наилучшие доступные технологии </w:t>
      </w:r>
      <w:hyperlink r:id="rId14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https://texoboronexpert.ru/uslugi/proekty-po-jekologii/otchetnost/kjer/ndt/</w:t>
        </w:r>
      </w:hyperlink>
    </w:p>
    <w:p w14:paraId="0266816C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[10] Повышение лимита микрогенерации до 150 кВт - Solartek </w:t>
      </w:r>
      <w:hyperlink r:id="rId15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https://sollartek.com/tpost/nrpuax2kp1-min</w:t>
        </w:r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e</w:t>
        </w:r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nergo-predlozhilo-povisit-limit-mikr</w:t>
        </w:r>
      </w:hyperlink>
    </w:p>
    <w:p w14:paraId="317FCFD2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[11] Зеленое финансирование получит мощный импульс с 1 ... </w:t>
      </w:r>
      <w:hyperlink r:id="rId16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https://www.cfo-russia.ru/novosti/?article=91832</w:t>
        </w:r>
      </w:hyperlink>
    </w:p>
    <w:p w14:paraId="0F547EFD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[12] ЭКОНОМИЧЕСКИЕ МЕХАНИЗМЫ И УСЛОВИЯ ПЕРЕХОДА К ЗЕЛЕНОЙ ЭКОНОМИКЕ </w:t>
      </w:r>
      <w:hyperlink r:id="rId17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https://fundamental-research.ru/article/view?id=34326</w:t>
        </w:r>
      </w:hyperlink>
    </w:p>
    <w:p w14:paraId="37987645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[13] Реализация механизмов </w:t>
      </w:r>
      <w:hyperlink r:id="rId18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https://ruslom.com/wp-content/uploads/2019/02/realizatsiya-mehanizmov-zelenoy-ekonomiki.pdf</w:t>
        </w:r>
      </w:hyperlink>
    </w:p>
    <w:p w14:paraId="6EFDFE0B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[14] «Зеленая» экономика: сущность, принципы и перспективы </w:t>
      </w:r>
      <w:hyperlink r:id="rId19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https://agriecomission.com/base/zelenaya-ekonomika-sushchnost-principy-i-perspektivy</w:t>
        </w:r>
      </w:hyperlink>
    </w:p>
    <w:p w14:paraId="2107E90E" w14:textId="77777777" w:rsidR="00F3753B" w:rsidRPr="00F3753B" w:rsidRDefault="00F3753B" w:rsidP="00F37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53B">
        <w:rPr>
          <w:rFonts w:ascii="Times New Roman" w:hAnsi="Times New Roman" w:cs="Times New Roman"/>
          <w:sz w:val="24"/>
          <w:szCs w:val="24"/>
        </w:rPr>
        <w:t>[15] зеленого» производства в России в 2025-2026 году ... </w:t>
      </w:r>
      <w:hyperlink r:id="rId20" w:tgtFrame="_blank" w:history="1">
        <w:r w:rsidRPr="00F3753B">
          <w:rPr>
            <w:rStyle w:val="af0"/>
            <w:rFonts w:ascii="Times New Roman" w:hAnsi="Times New Roman" w:cs="Times New Roman"/>
            <w:sz w:val="24"/>
            <w:szCs w:val="24"/>
          </w:rPr>
          <w:t>https://msk.energy220.net/nash-blog/2025/08/21/perspektivyi-%C2%ABzelenogo%C2%BB-proizvodstva-v-rossii-v-2025-2026-godu-realii,-vyizovyi-i-vozmozhnosti/</w:t>
        </w:r>
      </w:hyperlink>
    </w:p>
    <w:p w14:paraId="67C57A17" w14:textId="77777777" w:rsidR="00EB6E29" w:rsidRPr="00C93B63" w:rsidRDefault="00EB6E29" w:rsidP="00C93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6E29" w:rsidRPr="00C93B63" w:rsidSect="00C93B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CA0E" w14:textId="77777777" w:rsidR="005E5FAC" w:rsidRDefault="005E5FAC" w:rsidP="00842378">
      <w:pPr>
        <w:spacing w:after="0" w:line="240" w:lineRule="auto"/>
      </w:pPr>
      <w:r>
        <w:separator/>
      </w:r>
    </w:p>
  </w:endnote>
  <w:endnote w:type="continuationSeparator" w:id="0">
    <w:p w14:paraId="4D829DA6" w14:textId="77777777" w:rsidR="005E5FAC" w:rsidRDefault="005E5FAC" w:rsidP="0084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E880" w14:textId="77777777" w:rsidR="005E5FAC" w:rsidRDefault="005E5FAC" w:rsidP="00842378">
      <w:pPr>
        <w:spacing w:after="0" w:line="240" w:lineRule="auto"/>
      </w:pPr>
      <w:r>
        <w:separator/>
      </w:r>
    </w:p>
  </w:footnote>
  <w:footnote w:type="continuationSeparator" w:id="0">
    <w:p w14:paraId="5BC56579" w14:textId="77777777" w:rsidR="005E5FAC" w:rsidRDefault="005E5FAC" w:rsidP="00842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78"/>
    <w:rsid w:val="00046BFC"/>
    <w:rsid w:val="00073E66"/>
    <w:rsid w:val="000B29D3"/>
    <w:rsid w:val="00153AEC"/>
    <w:rsid w:val="001B2D1A"/>
    <w:rsid w:val="002B5F76"/>
    <w:rsid w:val="002E1014"/>
    <w:rsid w:val="003A00D0"/>
    <w:rsid w:val="00457A89"/>
    <w:rsid w:val="005A76FF"/>
    <w:rsid w:val="005E5FAC"/>
    <w:rsid w:val="00664B6C"/>
    <w:rsid w:val="006A0B20"/>
    <w:rsid w:val="00794BFE"/>
    <w:rsid w:val="00842378"/>
    <w:rsid w:val="00A32FFC"/>
    <w:rsid w:val="00A406AE"/>
    <w:rsid w:val="00A46F0A"/>
    <w:rsid w:val="00A50BC1"/>
    <w:rsid w:val="00BA037B"/>
    <w:rsid w:val="00C93B63"/>
    <w:rsid w:val="00CA1C37"/>
    <w:rsid w:val="00D5057E"/>
    <w:rsid w:val="00EB6E29"/>
    <w:rsid w:val="00ED1578"/>
    <w:rsid w:val="00EF612B"/>
    <w:rsid w:val="00F048A4"/>
    <w:rsid w:val="00F3753B"/>
    <w:rsid w:val="00F913CA"/>
    <w:rsid w:val="00F950F5"/>
    <w:rsid w:val="00FD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A372"/>
  <w15:chartTrackingRefBased/>
  <w15:docId w15:val="{37800E08-F16E-4F6D-A2E6-E30072D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3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3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3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3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3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3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3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237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42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2378"/>
  </w:style>
  <w:style w:type="paragraph" w:styleId="ae">
    <w:name w:val="footer"/>
    <w:basedOn w:val="a"/>
    <w:link w:val="af"/>
    <w:uiPriority w:val="99"/>
    <w:unhideWhenUsed/>
    <w:rsid w:val="00842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2378"/>
  </w:style>
  <w:style w:type="character" w:styleId="af0">
    <w:name w:val="Hyperlink"/>
    <w:basedOn w:val="a0"/>
    <w:uiPriority w:val="99"/>
    <w:unhideWhenUsed/>
    <w:rsid w:val="00A50BC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50BC1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B2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wtheses.com/administrativno-pravovoe-regulirovanie-ohrany-okruzhayuschey-sredy-v-rossiyskoy-federatsii" TargetMode="External"/><Relationship Id="rId13" Type="http://schemas.openxmlformats.org/officeDocument/2006/relationships/hyperlink" Target="https://www.microgenerator.ru/minenergo-poruchen-plan-razvitiya-mikrogeneratsii-2025" TargetMode="External"/><Relationship Id="rId18" Type="http://schemas.openxmlformats.org/officeDocument/2006/relationships/hyperlink" Target="https://ruslom.com/wp-content/uploads/2019/02/realizatsiya-mehanizmov-zelenoy-ekonomiki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bik.sfu-kras.ru/elib/view?id=PRSV-gopr%2F2022%2F4-886110529" TargetMode="External"/><Relationship Id="rId12" Type="http://schemas.openxmlformats.org/officeDocument/2006/relationships/hyperlink" Target="https://www.kommersant.ru/doc/7677578" TargetMode="External"/><Relationship Id="rId17" Type="http://schemas.openxmlformats.org/officeDocument/2006/relationships/hyperlink" Target="https://fundamental-research.ru/article/view?id=343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fo-russia.ru/novosti/?article=91832" TargetMode="External"/><Relationship Id="rId20" Type="http://schemas.openxmlformats.org/officeDocument/2006/relationships/hyperlink" Target="https://msk.energy220.net/nash-blog/2025/08/21/perspektivyi-%C2%ABzelenogo%C2%BB-proizvodstva-v-rossii-v-2025-2026-godu-realii,-vyizovyi-i-vozmozhnosti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-legal.ru/gosudarstvennoe-regulirovanie-sistemy-ekologicheskogo-menedzhmenta-v-rossii" TargetMode="External"/><Relationship Id="rId11" Type="http://schemas.openxmlformats.org/officeDocument/2006/relationships/hyperlink" Target="https://lawinfo.ru/articles/11317/zelenaya-ekonomika-v-nacionalnom-zakonodatelstve-rossiiskoi-federacii-otrazenie-mezdunarodnogo-opyta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ollartek.com/tpost/nrpuax2kp1-minenergo-predlozhilo-povisit-limit-mikr" TargetMode="External"/><Relationship Id="rId10" Type="http://schemas.openxmlformats.org/officeDocument/2006/relationships/hyperlink" Target="https://35babushkinskij.gosuslugi.ru/dlya-zhiteley/novosti-i-reportazhi/novosti_2332.html" TargetMode="External"/><Relationship Id="rId19" Type="http://schemas.openxmlformats.org/officeDocument/2006/relationships/hyperlink" Target="https://agriecomission.com/base/zelenaya-ekonomika-sushchnost-principy-i-perspektiv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onoshskoe-r29.gosweb.gosuslugi.ru/spravochnik/ekologicheskie-organizatsii/razyasnenie-klyuchevyh-polozheniy-zakonodatelstva/" TargetMode="External"/><Relationship Id="rId14" Type="http://schemas.openxmlformats.org/officeDocument/2006/relationships/hyperlink" Target="https://texoboronexpert.ru/uslugi/proekty-po-jekologii/otchetnost/kjer/nd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2026-04-09T16:00:00Z</dcterms:created>
  <dcterms:modified xsi:type="dcterms:W3CDTF">2026-04-09T16:00:00Z</dcterms:modified>
</cp:coreProperties>
</file>