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1730A8" w14:textId="7CBA17A8" w:rsidR="00C86AD8" w:rsidRPr="00C14E1B" w:rsidRDefault="00C86AD8" w:rsidP="00C14E1B">
      <w:pPr>
        <w:jc w:val="center"/>
        <w:rPr>
          <w:rFonts w:ascii="Times New Roman" w:hAnsi="Times New Roman" w:cs="Times New Roman"/>
          <w:sz w:val="24"/>
          <w:szCs w:val="24"/>
        </w:rPr>
      </w:pPr>
      <w:r w:rsidRPr="00C86AD8">
        <w:rPr>
          <w:rFonts w:ascii="Times New Roman" w:hAnsi="Times New Roman" w:cs="Times New Roman"/>
          <w:sz w:val="24"/>
          <w:szCs w:val="24"/>
        </w:rPr>
        <w:t>О</w:t>
      </w:r>
      <w:r w:rsidR="00C14E1B">
        <w:rPr>
          <w:rFonts w:ascii="Times New Roman" w:hAnsi="Times New Roman" w:cs="Times New Roman"/>
          <w:sz w:val="24"/>
          <w:szCs w:val="24"/>
        </w:rPr>
        <w:t>собенности китайской лексики в социальной медиа</w:t>
      </w:r>
    </w:p>
    <w:p w14:paraId="793B925D" w14:textId="497F8223" w:rsidR="00C14E1B" w:rsidRDefault="00C86AD8" w:rsidP="00F1313D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Авторы: </w:t>
      </w:r>
      <w:proofErr w:type="spellStart"/>
      <w:r>
        <w:rPr>
          <w:rFonts w:ascii="Times New Roman" w:hAnsi="Times New Roman" w:cs="Times New Roman"/>
          <w:sz w:val="24"/>
          <w:szCs w:val="24"/>
        </w:rPr>
        <w:t>Гнарова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</w:t>
      </w:r>
      <w:r w:rsidR="00C14E1B">
        <w:rPr>
          <w:rFonts w:ascii="Times New Roman" w:hAnsi="Times New Roman" w:cs="Times New Roman"/>
          <w:sz w:val="24"/>
          <w:szCs w:val="24"/>
        </w:rPr>
        <w:t>сения Александровна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F1313D">
        <w:rPr>
          <w:rFonts w:ascii="Times New Roman" w:hAnsi="Times New Roman" w:cs="Times New Roman"/>
          <w:sz w:val="24"/>
          <w:szCs w:val="24"/>
        </w:rPr>
        <w:t>АГУ</w:t>
      </w:r>
      <w:r w:rsidR="00F1313D" w:rsidRPr="00F1313D">
        <w:rPr>
          <w:rFonts w:ascii="Times New Roman" w:hAnsi="Times New Roman" w:cs="Times New Roman"/>
          <w:sz w:val="24"/>
          <w:szCs w:val="24"/>
        </w:rPr>
        <w:t>, Майкоп</w:t>
      </w:r>
    </w:p>
    <w:p w14:paraId="68ABE7B2" w14:textId="74DDBFE0" w:rsidR="00C86AD8" w:rsidRDefault="00C86AD8" w:rsidP="00F1313D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Слабунова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</w:t>
      </w:r>
      <w:r w:rsidR="00F1313D">
        <w:rPr>
          <w:rFonts w:ascii="Times New Roman" w:hAnsi="Times New Roman" w:cs="Times New Roman"/>
          <w:sz w:val="24"/>
          <w:szCs w:val="24"/>
        </w:rPr>
        <w:t>арья Олеговна, АГУ, Майкоп</w:t>
      </w:r>
    </w:p>
    <w:p w14:paraId="5B2AECBD" w14:textId="6AEFD288" w:rsidR="00C86AD8" w:rsidRPr="00C86AD8" w:rsidRDefault="00C86AD8" w:rsidP="00F1313D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C86AD8">
        <w:rPr>
          <w:rFonts w:ascii="Times New Roman" w:hAnsi="Times New Roman" w:cs="Times New Roman"/>
          <w:sz w:val="24"/>
          <w:szCs w:val="24"/>
        </w:rPr>
        <w:t xml:space="preserve">Научный руководитель: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Кодзова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Зуриет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Нурбиевна</w:t>
      </w:r>
      <w:proofErr w:type="spellEnd"/>
      <w:r>
        <w:rPr>
          <w:rFonts w:ascii="Times New Roman" w:hAnsi="Times New Roman" w:cs="Times New Roman"/>
          <w:sz w:val="24"/>
          <w:szCs w:val="24"/>
        </w:rPr>
        <w:t>, старший преподаватель</w:t>
      </w:r>
      <w:r w:rsidR="00F1313D">
        <w:rPr>
          <w:rFonts w:ascii="Times New Roman" w:hAnsi="Times New Roman" w:cs="Times New Roman"/>
          <w:sz w:val="24"/>
          <w:szCs w:val="24"/>
        </w:rPr>
        <w:t xml:space="preserve">, </w:t>
      </w:r>
      <w:r w:rsidR="00F1313D" w:rsidRPr="00F1313D">
        <w:rPr>
          <w:rFonts w:ascii="Times New Roman" w:hAnsi="Times New Roman" w:cs="Times New Roman"/>
          <w:sz w:val="24"/>
          <w:szCs w:val="24"/>
        </w:rPr>
        <w:t>АГУ,</w:t>
      </w:r>
      <w:r w:rsidR="00F1313D">
        <w:rPr>
          <w:rFonts w:ascii="Times New Roman" w:hAnsi="Times New Roman" w:cs="Times New Roman"/>
          <w:sz w:val="24"/>
          <w:szCs w:val="24"/>
        </w:rPr>
        <w:t xml:space="preserve"> </w:t>
      </w:r>
      <w:r w:rsidR="00F1313D" w:rsidRPr="00F1313D">
        <w:rPr>
          <w:rFonts w:ascii="Times New Roman" w:hAnsi="Times New Roman" w:cs="Times New Roman"/>
          <w:sz w:val="24"/>
          <w:szCs w:val="24"/>
        </w:rPr>
        <w:t>Майкоп</w:t>
      </w:r>
    </w:p>
    <w:p w14:paraId="10D1889D" w14:textId="55AC3B5D" w:rsidR="00C86AD8" w:rsidRPr="00C14E1B" w:rsidRDefault="00C86AD8" w:rsidP="00F1313D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86AD8">
        <w:rPr>
          <w:rFonts w:ascii="Times New Roman" w:hAnsi="Times New Roman" w:cs="Times New Roman"/>
          <w:sz w:val="24"/>
          <w:szCs w:val="24"/>
        </w:rPr>
        <w:t>Актуальность темы. Социальные медиа в Китае (</w:t>
      </w:r>
      <w:proofErr w:type="spellStart"/>
      <w:r w:rsidRPr="00C86AD8">
        <w:rPr>
          <w:rFonts w:ascii="Times New Roman" w:hAnsi="Times New Roman" w:cs="Times New Roman"/>
          <w:sz w:val="24"/>
          <w:szCs w:val="24"/>
        </w:rPr>
        <w:t>WeChat</w:t>
      </w:r>
      <w:proofErr w:type="spellEnd"/>
      <w:r w:rsidRPr="00C86AD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86AD8">
        <w:rPr>
          <w:rFonts w:ascii="Times New Roman" w:hAnsi="Times New Roman" w:cs="Times New Roman"/>
          <w:sz w:val="24"/>
          <w:szCs w:val="24"/>
        </w:rPr>
        <w:t>Weibo</w:t>
      </w:r>
      <w:proofErr w:type="spellEnd"/>
      <w:r w:rsidRPr="00C86AD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86AD8">
        <w:rPr>
          <w:rFonts w:ascii="Times New Roman" w:hAnsi="Times New Roman" w:cs="Times New Roman"/>
          <w:sz w:val="24"/>
          <w:szCs w:val="24"/>
        </w:rPr>
        <w:t>Douyin</w:t>
      </w:r>
      <w:proofErr w:type="spellEnd"/>
      <w:r w:rsidRPr="00C86AD8">
        <w:rPr>
          <w:rFonts w:ascii="Times New Roman" w:hAnsi="Times New Roman" w:cs="Times New Roman"/>
          <w:sz w:val="24"/>
          <w:szCs w:val="24"/>
        </w:rPr>
        <w:t>) охватывают более миллиарда активных пользователей, формируя уникальную языковую среду. Китайский интернет-сленг не только отражает социокультурные изменения, но и активно влияет на развитие современного китайского языка. Изучение особенностей лексики китайских соцмедиа необходимо для понимания механизмов цифровой коммуникации, адаптации языка к новым технологическим и политическим условиям, а также для эффективного межкультурного взаимодействия.</w:t>
      </w:r>
    </w:p>
    <w:p w14:paraId="342AC046" w14:textId="0FE68961" w:rsidR="00C86AD8" w:rsidRPr="00C14E1B" w:rsidRDefault="00C86AD8" w:rsidP="00F1313D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86AD8">
        <w:rPr>
          <w:rFonts w:ascii="Times New Roman" w:hAnsi="Times New Roman" w:cs="Times New Roman"/>
          <w:sz w:val="24"/>
          <w:szCs w:val="24"/>
        </w:rPr>
        <w:t xml:space="preserve">Степень разработанности. Проблематика интернет-лексики китайского языка привлекает внимание как зарубежных (D. Crystal, J. </w:t>
      </w:r>
      <w:proofErr w:type="spellStart"/>
      <w:r w:rsidRPr="00C86AD8">
        <w:rPr>
          <w:rFonts w:ascii="Times New Roman" w:hAnsi="Times New Roman" w:cs="Times New Roman"/>
          <w:sz w:val="24"/>
          <w:szCs w:val="24"/>
        </w:rPr>
        <w:t>Seargeant</w:t>
      </w:r>
      <w:proofErr w:type="spellEnd"/>
      <w:r w:rsidRPr="00C86AD8">
        <w:rPr>
          <w:rFonts w:ascii="Times New Roman" w:hAnsi="Times New Roman" w:cs="Times New Roman"/>
          <w:sz w:val="24"/>
          <w:szCs w:val="24"/>
        </w:rPr>
        <w:t>), так и китайских лингвистов (Чжан Вэй, Ли Сюань). Исследования фокусируются на фонетических играх, аббревиации и цифровых кодах. Однако системный анализ механизмов словообразования именно в контексте социальных медиа последних лет (2023–2026) с учётом влияния политики фильтрации контента («чувствительные слова») и алгоритмов платформ остаётся недостаточно разработанным. Настоящая работа восполняет этот пробел.</w:t>
      </w:r>
    </w:p>
    <w:p w14:paraId="2D87B25B" w14:textId="1A30FC3F" w:rsidR="00C86AD8" w:rsidRPr="00C14E1B" w:rsidRDefault="00C86AD8" w:rsidP="00F1313D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86AD8">
        <w:rPr>
          <w:rFonts w:ascii="Times New Roman" w:hAnsi="Times New Roman" w:cs="Times New Roman"/>
          <w:sz w:val="24"/>
          <w:szCs w:val="24"/>
        </w:rPr>
        <w:t>Цель и задачи. Цель – выявить и классифицировать основные способы образования и семантические категории китайской лексики в социальных медиа. Задачи: 1) определить продуктивные словообразовательные модели (аббревиация, фонетические игры, морфологические инновации); 2) выделить ключевые семантические группы (социально-критическая, эмоциональная, функциональный сленг платформ); 3) проанализировать влияние социокультурного контекста и языковой политики на формирование данной лексики.</w:t>
      </w:r>
    </w:p>
    <w:p w14:paraId="1926310A" w14:textId="6449C497" w:rsidR="00C86AD8" w:rsidRPr="00C14E1B" w:rsidRDefault="00C86AD8" w:rsidP="00F1313D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86AD8">
        <w:rPr>
          <w:rFonts w:ascii="Times New Roman" w:hAnsi="Times New Roman" w:cs="Times New Roman"/>
          <w:sz w:val="24"/>
          <w:szCs w:val="24"/>
        </w:rPr>
        <w:t xml:space="preserve">Методы. В работе использованы методы сплошной выборки лексических единиц из постов и комментариев на платформах </w:t>
      </w:r>
      <w:proofErr w:type="spellStart"/>
      <w:r w:rsidRPr="00C86AD8">
        <w:rPr>
          <w:rFonts w:ascii="Times New Roman" w:hAnsi="Times New Roman" w:cs="Times New Roman"/>
          <w:sz w:val="24"/>
          <w:szCs w:val="24"/>
        </w:rPr>
        <w:t>Weibo</w:t>
      </w:r>
      <w:proofErr w:type="spellEnd"/>
      <w:r w:rsidRPr="00C86AD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86AD8">
        <w:rPr>
          <w:rFonts w:ascii="Times New Roman" w:hAnsi="Times New Roman" w:cs="Times New Roman"/>
          <w:sz w:val="24"/>
          <w:szCs w:val="24"/>
        </w:rPr>
        <w:t>Douyin</w:t>
      </w:r>
      <w:proofErr w:type="spellEnd"/>
      <w:r w:rsidRPr="00C86AD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86AD8">
        <w:rPr>
          <w:rFonts w:ascii="Times New Roman" w:hAnsi="Times New Roman" w:cs="Times New Roman"/>
          <w:sz w:val="24"/>
          <w:szCs w:val="24"/>
        </w:rPr>
        <w:t>Tieba</w:t>
      </w:r>
      <w:proofErr w:type="spellEnd"/>
      <w:r w:rsidRPr="00C86AD8">
        <w:rPr>
          <w:rFonts w:ascii="Times New Roman" w:hAnsi="Times New Roman" w:cs="Times New Roman"/>
          <w:sz w:val="24"/>
          <w:szCs w:val="24"/>
        </w:rPr>
        <w:t xml:space="preserve"> (2024–2026), компонентного анализа, семантической классификации, а также дискурс-анализ контекстов употребления. Для выявления способов словообразования применён деривационный анализ.</w:t>
      </w:r>
    </w:p>
    <w:p w14:paraId="0AFDA376" w14:textId="7D07CE89" w:rsidR="00C86AD8" w:rsidRPr="00C14E1B" w:rsidRDefault="00C86AD8" w:rsidP="00777F51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86AD8">
        <w:rPr>
          <w:rFonts w:ascii="Times New Roman" w:hAnsi="Times New Roman" w:cs="Times New Roman"/>
          <w:sz w:val="24"/>
          <w:szCs w:val="24"/>
        </w:rPr>
        <w:t>Научные результаты.</w:t>
      </w:r>
    </w:p>
    <w:p w14:paraId="3F748C88" w14:textId="77777777" w:rsidR="00C86AD8" w:rsidRPr="00C86AD8" w:rsidRDefault="00C86AD8" w:rsidP="00777F51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86AD8">
        <w:rPr>
          <w:rFonts w:ascii="Times New Roman" w:hAnsi="Times New Roman" w:cs="Times New Roman"/>
          <w:sz w:val="24"/>
          <w:szCs w:val="24"/>
        </w:rPr>
        <w:t>1. Выявлены четыре ведущих механизма словообразования: аббревиация на основе пиньиня (GG, MM) и цифр (886); фонетические омографические замены («</w:t>
      </w:r>
      <w:r w:rsidRPr="00C86AD8">
        <w:rPr>
          <w:rFonts w:ascii="Times New Roman" w:eastAsia="MS Gothic" w:hAnsi="Times New Roman" w:cs="Times New Roman"/>
          <w:sz w:val="24"/>
          <w:szCs w:val="24"/>
        </w:rPr>
        <w:t>米</w:t>
      </w:r>
      <w:r w:rsidRPr="00C86AD8">
        <w:rPr>
          <w:rFonts w:ascii="Times New Roman" w:hAnsi="Times New Roman" w:cs="Times New Roman"/>
          <w:sz w:val="24"/>
          <w:szCs w:val="24"/>
        </w:rPr>
        <w:t>» вместо «</w:t>
      </w:r>
      <w:r w:rsidRPr="00C86AD8">
        <w:rPr>
          <w:rFonts w:ascii="Times New Roman" w:eastAsia="Microsoft JhengHei" w:hAnsi="Times New Roman" w:cs="Times New Roman"/>
          <w:sz w:val="24"/>
          <w:szCs w:val="24"/>
        </w:rPr>
        <w:t>钱</w:t>
      </w:r>
      <w:r w:rsidRPr="00C86AD8">
        <w:rPr>
          <w:rFonts w:ascii="Times New Roman" w:hAnsi="Times New Roman" w:cs="Times New Roman"/>
          <w:sz w:val="24"/>
          <w:szCs w:val="24"/>
        </w:rPr>
        <w:t>» для денег); морфологические инновации («</w:t>
      </w:r>
      <w:proofErr w:type="spellStart"/>
      <w:r w:rsidRPr="00C86AD8">
        <w:rPr>
          <w:rFonts w:ascii="Times New Roman" w:eastAsia="MS Gothic" w:hAnsi="Times New Roman" w:cs="Times New Roman"/>
          <w:sz w:val="24"/>
          <w:szCs w:val="24"/>
        </w:rPr>
        <w:t>主理人</w:t>
      </w:r>
      <w:proofErr w:type="spellEnd"/>
      <w:r w:rsidRPr="00C86AD8">
        <w:rPr>
          <w:rFonts w:ascii="Times New Roman" w:hAnsi="Times New Roman" w:cs="Times New Roman"/>
          <w:sz w:val="24"/>
          <w:szCs w:val="24"/>
        </w:rPr>
        <w:t>» вместо традиционного «</w:t>
      </w:r>
      <w:proofErr w:type="spellStart"/>
      <w:r w:rsidRPr="00C86AD8">
        <w:rPr>
          <w:rFonts w:ascii="Times New Roman" w:eastAsia="MS Gothic" w:hAnsi="Times New Roman" w:cs="Times New Roman"/>
          <w:sz w:val="24"/>
          <w:szCs w:val="24"/>
        </w:rPr>
        <w:t>老板</w:t>
      </w:r>
      <w:proofErr w:type="spellEnd"/>
      <w:r w:rsidRPr="00C86AD8">
        <w:rPr>
          <w:rFonts w:ascii="Times New Roman" w:hAnsi="Times New Roman" w:cs="Times New Roman"/>
          <w:sz w:val="24"/>
          <w:szCs w:val="24"/>
        </w:rPr>
        <w:t>»); гибридные англо-китайские образования («</w:t>
      </w:r>
      <w:r w:rsidRPr="00C86AD8">
        <w:rPr>
          <w:rFonts w:ascii="Times New Roman" w:eastAsia="MS Gothic" w:hAnsi="Times New Roman" w:cs="Times New Roman"/>
          <w:sz w:val="24"/>
          <w:szCs w:val="24"/>
        </w:rPr>
        <w:t>独</w:t>
      </w:r>
      <w:proofErr w:type="spellStart"/>
      <w:r w:rsidRPr="00C86AD8">
        <w:rPr>
          <w:rFonts w:ascii="Times New Roman" w:hAnsi="Times New Roman" w:cs="Times New Roman"/>
          <w:sz w:val="24"/>
          <w:szCs w:val="24"/>
        </w:rPr>
        <w:t>one</w:t>
      </w:r>
      <w:proofErr w:type="spellEnd"/>
      <w:r w:rsidRPr="00C86AD8">
        <w:rPr>
          <w:rFonts w:ascii="Times New Roman" w:eastAsia="MS Gothic" w:hAnsi="Times New Roman" w:cs="Times New Roman"/>
          <w:sz w:val="24"/>
          <w:szCs w:val="24"/>
        </w:rPr>
        <w:t>无</w:t>
      </w:r>
      <w:proofErr w:type="spellStart"/>
      <w:r w:rsidRPr="00C86AD8">
        <w:rPr>
          <w:rFonts w:ascii="Times New Roman" w:hAnsi="Times New Roman" w:cs="Times New Roman"/>
          <w:sz w:val="24"/>
          <w:szCs w:val="24"/>
        </w:rPr>
        <w:t>two</w:t>
      </w:r>
      <w:proofErr w:type="spellEnd"/>
      <w:r w:rsidRPr="00C86AD8">
        <w:rPr>
          <w:rFonts w:ascii="Times New Roman" w:hAnsi="Times New Roman" w:cs="Times New Roman"/>
          <w:sz w:val="24"/>
          <w:szCs w:val="24"/>
        </w:rPr>
        <w:t>»).</w:t>
      </w:r>
    </w:p>
    <w:p w14:paraId="75400CC1" w14:textId="77777777" w:rsidR="00C86AD8" w:rsidRPr="00C86AD8" w:rsidRDefault="00C86AD8" w:rsidP="00777F51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86AD8">
        <w:rPr>
          <w:rFonts w:ascii="Times New Roman" w:hAnsi="Times New Roman" w:cs="Times New Roman"/>
          <w:sz w:val="24"/>
          <w:szCs w:val="24"/>
        </w:rPr>
        <w:t>2. Установлены основные семантические категории: социально-критическая лексика («</w:t>
      </w:r>
      <w:proofErr w:type="spellStart"/>
      <w:r w:rsidRPr="00C86AD8">
        <w:rPr>
          <w:rFonts w:ascii="Times New Roman" w:eastAsia="MS Gothic" w:hAnsi="Times New Roman" w:cs="Times New Roman"/>
          <w:sz w:val="24"/>
          <w:szCs w:val="24"/>
        </w:rPr>
        <w:t>内卷</w:t>
      </w:r>
      <w:proofErr w:type="spellEnd"/>
      <w:r w:rsidRPr="00C86AD8">
        <w:rPr>
          <w:rFonts w:ascii="Times New Roman" w:hAnsi="Times New Roman" w:cs="Times New Roman"/>
          <w:sz w:val="24"/>
          <w:szCs w:val="24"/>
        </w:rPr>
        <w:t>», «</w:t>
      </w:r>
      <w:proofErr w:type="spellStart"/>
      <w:r w:rsidRPr="00C86AD8">
        <w:rPr>
          <w:rFonts w:ascii="Times New Roman" w:eastAsia="MS Gothic" w:hAnsi="Times New Roman" w:cs="Times New Roman"/>
          <w:sz w:val="24"/>
          <w:szCs w:val="24"/>
        </w:rPr>
        <w:t>躺平</w:t>
      </w:r>
      <w:proofErr w:type="spellEnd"/>
      <w:r w:rsidRPr="00C86AD8">
        <w:rPr>
          <w:rFonts w:ascii="Times New Roman" w:hAnsi="Times New Roman" w:cs="Times New Roman"/>
          <w:sz w:val="24"/>
          <w:szCs w:val="24"/>
        </w:rPr>
        <w:t>», «</w:t>
      </w:r>
      <w:proofErr w:type="spellStart"/>
      <w:r w:rsidRPr="00C86AD8">
        <w:rPr>
          <w:rFonts w:ascii="Times New Roman" w:eastAsia="MS Gothic" w:hAnsi="Times New Roman" w:cs="Times New Roman"/>
          <w:sz w:val="24"/>
          <w:szCs w:val="24"/>
        </w:rPr>
        <w:t>老鼠人</w:t>
      </w:r>
      <w:proofErr w:type="spellEnd"/>
      <w:r w:rsidRPr="00C86AD8">
        <w:rPr>
          <w:rFonts w:ascii="Times New Roman" w:hAnsi="Times New Roman" w:cs="Times New Roman"/>
          <w:sz w:val="24"/>
          <w:szCs w:val="24"/>
        </w:rPr>
        <w:t>»); лексика эмоций и самоидентификации («</w:t>
      </w:r>
      <w:proofErr w:type="spellStart"/>
      <w:r w:rsidRPr="00C86AD8">
        <w:rPr>
          <w:rFonts w:ascii="Times New Roman" w:eastAsia="MS Gothic" w:hAnsi="Times New Roman" w:cs="Times New Roman"/>
          <w:sz w:val="24"/>
          <w:szCs w:val="24"/>
        </w:rPr>
        <w:t>活人感</w:t>
      </w:r>
      <w:proofErr w:type="spellEnd"/>
      <w:r w:rsidRPr="00C86AD8">
        <w:rPr>
          <w:rFonts w:ascii="Times New Roman" w:hAnsi="Times New Roman" w:cs="Times New Roman"/>
          <w:sz w:val="24"/>
          <w:szCs w:val="24"/>
        </w:rPr>
        <w:t>», «</w:t>
      </w:r>
      <w:proofErr w:type="spellStart"/>
      <w:r w:rsidRPr="00C86AD8">
        <w:rPr>
          <w:rFonts w:ascii="Times New Roman" w:eastAsia="MS Gothic" w:hAnsi="Times New Roman" w:cs="Times New Roman"/>
          <w:sz w:val="24"/>
          <w:szCs w:val="24"/>
        </w:rPr>
        <w:t>敬自己一杯</w:t>
      </w:r>
      <w:proofErr w:type="spellEnd"/>
      <w:r w:rsidRPr="00C86AD8">
        <w:rPr>
          <w:rFonts w:ascii="Times New Roman" w:hAnsi="Times New Roman" w:cs="Times New Roman"/>
          <w:sz w:val="24"/>
          <w:szCs w:val="24"/>
        </w:rPr>
        <w:t>»); функциональный «эзопов язык» для обхода алгоритмов («</w:t>
      </w:r>
      <w:proofErr w:type="spellStart"/>
      <w:r w:rsidRPr="00C86AD8">
        <w:rPr>
          <w:rFonts w:ascii="Times New Roman" w:eastAsia="Microsoft JhengHei" w:hAnsi="Times New Roman" w:cs="Times New Roman"/>
          <w:sz w:val="24"/>
          <w:szCs w:val="24"/>
        </w:rPr>
        <w:t>啵啵间</w:t>
      </w:r>
      <w:proofErr w:type="spellEnd"/>
      <w:r w:rsidRPr="00C86AD8">
        <w:rPr>
          <w:rFonts w:ascii="Times New Roman" w:hAnsi="Times New Roman" w:cs="Times New Roman"/>
          <w:sz w:val="24"/>
          <w:szCs w:val="24"/>
        </w:rPr>
        <w:t>» вместо «</w:t>
      </w:r>
      <w:proofErr w:type="spellStart"/>
      <w:r w:rsidRPr="00C86AD8">
        <w:rPr>
          <w:rFonts w:ascii="Times New Roman" w:eastAsia="MS Gothic" w:hAnsi="Times New Roman" w:cs="Times New Roman"/>
          <w:sz w:val="24"/>
          <w:szCs w:val="24"/>
        </w:rPr>
        <w:t>直播</w:t>
      </w:r>
      <w:r w:rsidRPr="00C86AD8">
        <w:rPr>
          <w:rFonts w:ascii="Times New Roman" w:eastAsia="Microsoft JhengHei" w:hAnsi="Times New Roman" w:cs="Times New Roman"/>
          <w:sz w:val="24"/>
          <w:szCs w:val="24"/>
        </w:rPr>
        <w:t>间</w:t>
      </w:r>
      <w:proofErr w:type="spellEnd"/>
      <w:r w:rsidRPr="00C86AD8">
        <w:rPr>
          <w:rFonts w:ascii="Times New Roman" w:hAnsi="Times New Roman" w:cs="Times New Roman"/>
          <w:sz w:val="24"/>
          <w:szCs w:val="24"/>
        </w:rPr>
        <w:t>»).</w:t>
      </w:r>
    </w:p>
    <w:p w14:paraId="7ACF67CB" w14:textId="2F8B5D60" w:rsidR="00C86AD8" w:rsidRDefault="00C86AD8" w:rsidP="00777F51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86AD8">
        <w:rPr>
          <w:rFonts w:ascii="Times New Roman" w:hAnsi="Times New Roman" w:cs="Times New Roman"/>
          <w:sz w:val="24"/>
          <w:szCs w:val="24"/>
        </w:rPr>
        <w:t>3. Доказано, что система фильтрации «чувствительных слов» стимулирует появление эвфемизмов и иносказаний, формируя феномен «ротовой литературы» (</w:t>
      </w:r>
      <w:proofErr w:type="spellStart"/>
      <w:r w:rsidRPr="00C86AD8">
        <w:rPr>
          <w:rFonts w:ascii="Times New Roman" w:eastAsia="MS Gothic" w:hAnsi="Times New Roman" w:cs="Times New Roman"/>
          <w:sz w:val="24"/>
          <w:szCs w:val="24"/>
        </w:rPr>
        <w:t>口口文学</w:t>
      </w:r>
      <w:proofErr w:type="spellEnd"/>
      <w:r w:rsidRPr="00C86AD8">
        <w:rPr>
          <w:rFonts w:ascii="Times New Roman" w:hAnsi="Times New Roman" w:cs="Times New Roman"/>
          <w:sz w:val="24"/>
          <w:szCs w:val="24"/>
        </w:rPr>
        <w:t>).</w:t>
      </w:r>
    </w:p>
    <w:p w14:paraId="7198FA25" w14:textId="77777777" w:rsidR="00777F51" w:rsidRPr="00C14E1B" w:rsidRDefault="00777F51" w:rsidP="00777F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EF8AE67" w14:textId="161190A5" w:rsidR="00C86AD8" w:rsidRDefault="00C86AD8" w:rsidP="00777F51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86AD8">
        <w:rPr>
          <w:rFonts w:ascii="Times New Roman" w:hAnsi="Times New Roman" w:cs="Times New Roman"/>
          <w:sz w:val="24"/>
          <w:szCs w:val="24"/>
        </w:rPr>
        <w:t>Выводы. Лексика китайских социальных медиа представляет собой динамичную систему, развивающуюся на пересечении лингвистического творчества, технологических ограничений и социального запроса. Дальнейшее изучение этого пласта лексики важно для мониторинга социокультурных процессов в цифровом китайском обществе.</w:t>
      </w:r>
    </w:p>
    <w:p w14:paraId="26AFB2E9" w14:textId="77777777" w:rsidR="00777F51" w:rsidRPr="00C86AD8" w:rsidRDefault="00777F51" w:rsidP="00777F51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1429014D" w14:textId="3AE6C73C" w:rsidR="00C86AD8" w:rsidRPr="00C86AD8" w:rsidRDefault="00C86AD8" w:rsidP="00F1313D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86AD8">
        <w:rPr>
          <w:rFonts w:ascii="Times New Roman" w:hAnsi="Times New Roman" w:cs="Times New Roman"/>
          <w:sz w:val="24"/>
          <w:szCs w:val="24"/>
        </w:rPr>
        <w:t>Список литературы</w:t>
      </w:r>
    </w:p>
    <w:p w14:paraId="69ECD710" w14:textId="3E7DE30E" w:rsidR="00C86AD8" w:rsidRDefault="00F1313D" w:rsidP="00777F51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C86AD8" w:rsidRPr="00C86AD8">
        <w:rPr>
          <w:rFonts w:ascii="Times New Roman" w:hAnsi="Times New Roman" w:cs="Times New Roman"/>
          <w:sz w:val="24"/>
          <w:szCs w:val="24"/>
        </w:rPr>
        <w:t>. Краевская И.О. Китайский интернет-сленг: эвфемизмы и самоцензура в социальных медиа // Актуальные проблемы филологии: материалы Всероссийской научно-практической конференции. – Томск: Изд-во Томского политехнического университета, 2025. – С. 112–120.</w:t>
      </w:r>
    </w:p>
    <w:p w14:paraId="37FFC6F6" w14:textId="05FCAE10" w:rsidR="00F1313D" w:rsidRPr="00C86AD8" w:rsidRDefault="00F1313D" w:rsidP="00777F51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F1313D">
        <w:rPr>
          <w:rFonts w:ascii="Times New Roman" w:hAnsi="Times New Roman" w:cs="Times New Roman"/>
          <w:sz w:val="24"/>
          <w:szCs w:val="24"/>
        </w:rPr>
        <w:t>. Чжан Вэй. Интернет-лексика современного китайского языка: словообразовательные модели и функционирование. – Пекин: Изд-во Пекинского университета, 2021. – 215 с.</w:t>
      </w:r>
    </w:p>
    <w:p w14:paraId="3E037913" w14:textId="77777777" w:rsidR="00C86AD8" w:rsidRPr="00C86AD8" w:rsidRDefault="00C86AD8" w:rsidP="00777F51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val="en-US"/>
        </w:rPr>
      </w:pPr>
      <w:r w:rsidRPr="00C86AD8">
        <w:rPr>
          <w:rFonts w:ascii="Times New Roman" w:hAnsi="Times New Roman" w:cs="Times New Roman"/>
          <w:sz w:val="24"/>
          <w:szCs w:val="24"/>
          <w:lang w:val="en-US"/>
        </w:rPr>
        <w:t>3. Crystal D. Internet Linguistics: A Student Guide. – London: Routledge, 2020. – 192 p.</w:t>
      </w:r>
    </w:p>
    <w:p w14:paraId="17D10395" w14:textId="264895D6" w:rsidR="00530BCA" w:rsidRPr="00C86AD8" w:rsidRDefault="00C86AD8" w:rsidP="00777F51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val="en-US"/>
        </w:rPr>
      </w:pPr>
      <w:r w:rsidRPr="00C86AD8">
        <w:rPr>
          <w:rFonts w:ascii="Times New Roman" w:hAnsi="Times New Roman" w:cs="Times New Roman"/>
          <w:sz w:val="24"/>
          <w:szCs w:val="24"/>
          <w:lang w:val="en-US"/>
        </w:rPr>
        <w:t>4. Seargeant P., Tagg C. The Language of Social Media: Identity and Community on the Internet. – Basingstoke: Palgrave Macmillan, 2019. – 260 p.</w:t>
      </w:r>
    </w:p>
    <w:sectPr w:rsidR="00530BCA" w:rsidRPr="00C86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6C7A"/>
    <w:rsid w:val="00530BCA"/>
    <w:rsid w:val="00777F51"/>
    <w:rsid w:val="00826C7A"/>
    <w:rsid w:val="00AB4F69"/>
    <w:rsid w:val="00C14E1B"/>
    <w:rsid w:val="00C86AD8"/>
    <w:rsid w:val="00D50A09"/>
    <w:rsid w:val="00E62CD5"/>
    <w:rsid w:val="00F13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52590E"/>
  <w15:chartTrackingRefBased/>
  <w15:docId w15:val="{4B117BB8-ABC2-492D-84CD-540F062888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26C7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26C7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26C7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26C7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26C7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26C7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26C7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26C7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26C7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26C7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26C7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26C7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26C7A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26C7A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26C7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26C7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26C7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26C7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26C7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26C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26C7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26C7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26C7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26C7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26C7A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26C7A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26C7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26C7A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826C7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560</Words>
  <Characters>3195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SMART</dc:creator>
  <cp:keywords/>
  <dc:description/>
  <cp:lastModifiedBy>Анна Гибалова</cp:lastModifiedBy>
  <cp:revision>2</cp:revision>
  <dcterms:created xsi:type="dcterms:W3CDTF">2026-04-10T16:51:00Z</dcterms:created>
  <dcterms:modified xsi:type="dcterms:W3CDTF">2026-04-10T16:51:00Z</dcterms:modified>
</cp:coreProperties>
</file>