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7C25" w14:textId="4DAA761F" w:rsidR="007B0335" w:rsidRDefault="00190FA2" w:rsidP="007B03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РИСКАМИ В ОБРАЗОВАТЕЛЬНОЙ ОРАГНИЗАЦИИ</w:t>
      </w:r>
    </w:p>
    <w:p w14:paraId="55180994" w14:textId="033B64E9" w:rsidR="00190FA2" w:rsidRPr="007B0335" w:rsidRDefault="00190FA2" w:rsidP="007B033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B0335">
        <w:rPr>
          <w:rFonts w:ascii="Times New Roman" w:hAnsi="Times New Roman" w:cs="Times New Roman"/>
          <w:i/>
          <w:iCs/>
          <w:sz w:val="24"/>
          <w:szCs w:val="24"/>
        </w:rPr>
        <w:t>Цикуниб</w:t>
      </w:r>
      <w:proofErr w:type="spellEnd"/>
      <w:r w:rsidRPr="007B0335">
        <w:rPr>
          <w:rFonts w:ascii="Times New Roman" w:hAnsi="Times New Roman" w:cs="Times New Roman"/>
          <w:i/>
          <w:iCs/>
          <w:sz w:val="24"/>
          <w:szCs w:val="24"/>
        </w:rPr>
        <w:t xml:space="preserve"> Р. А.,</w:t>
      </w:r>
    </w:p>
    <w:p w14:paraId="79CBAD05" w14:textId="77777777" w:rsidR="007B0335" w:rsidRDefault="00190FA2" w:rsidP="007B033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B0335">
        <w:rPr>
          <w:rFonts w:ascii="Times New Roman" w:hAnsi="Times New Roman" w:cs="Times New Roman"/>
          <w:i/>
          <w:iCs/>
          <w:sz w:val="24"/>
          <w:szCs w:val="24"/>
        </w:rPr>
        <w:t>ФГБОУ ВО «АГУ», г. Майкоп.</w:t>
      </w:r>
    </w:p>
    <w:p w14:paraId="1C22ADE5" w14:textId="62BCC46A" w:rsidR="00190FA2" w:rsidRPr="007B0335" w:rsidRDefault="00190FA2" w:rsidP="007B033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B0335">
        <w:rPr>
          <w:rFonts w:ascii="Times New Roman" w:hAnsi="Times New Roman" w:cs="Times New Roman"/>
          <w:i/>
          <w:iCs/>
          <w:sz w:val="24"/>
          <w:szCs w:val="24"/>
        </w:rPr>
        <w:t xml:space="preserve"> Научный </w:t>
      </w:r>
      <w:r w:rsidR="007B0335" w:rsidRPr="007B0335">
        <w:rPr>
          <w:rFonts w:ascii="Times New Roman" w:hAnsi="Times New Roman" w:cs="Times New Roman"/>
          <w:i/>
          <w:iCs/>
          <w:sz w:val="24"/>
          <w:szCs w:val="24"/>
        </w:rPr>
        <w:t>руководитель –</w:t>
      </w:r>
      <w:r w:rsidRPr="007B03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B0335">
        <w:rPr>
          <w:rFonts w:ascii="Times New Roman" w:hAnsi="Times New Roman" w:cs="Times New Roman"/>
          <w:i/>
          <w:iCs/>
          <w:sz w:val="24"/>
          <w:szCs w:val="24"/>
        </w:rPr>
        <w:t>Курмалиева</w:t>
      </w:r>
      <w:proofErr w:type="spellEnd"/>
      <w:r w:rsidR="007B0335" w:rsidRPr="007B0335">
        <w:rPr>
          <w:rFonts w:ascii="Times New Roman" w:hAnsi="Times New Roman" w:cs="Times New Roman"/>
          <w:i/>
          <w:iCs/>
          <w:sz w:val="24"/>
          <w:szCs w:val="24"/>
        </w:rPr>
        <w:t xml:space="preserve"> З. Х. к.э.н., доц</w:t>
      </w:r>
      <w:r w:rsidR="007B0335">
        <w:rPr>
          <w:rFonts w:ascii="Times New Roman" w:hAnsi="Times New Roman" w:cs="Times New Roman"/>
          <w:i/>
          <w:iCs/>
          <w:sz w:val="24"/>
          <w:szCs w:val="24"/>
        </w:rPr>
        <w:t>.,</w:t>
      </w:r>
    </w:p>
    <w:p w14:paraId="30262190" w14:textId="1395B2FF" w:rsidR="00BF6A87" w:rsidRDefault="007B0335" w:rsidP="00BF6A8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B0335">
        <w:rPr>
          <w:rFonts w:ascii="Times New Roman" w:hAnsi="Times New Roman" w:cs="Times New Roman"/>
          <w:i/>
          <w:iCs/>
          <w:sz w:val="24"/>
          <w:szCs w:val="24"/>
        </w:rPr>
        <w:t>ФГБОУ ВО «АГУ», г. Майкоп.</w:t>
      </w:r>
    </w:p>
    <w:p w14:paraId="710099F4" w14:textId="77777777" w:rsidR="00BF6A87" w:rsidRPr="00BF6A87" w:rsidRDefault="00BF6A87" w:rsidP="00BF6A8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084B7D6" w14:textId="77777777" w:rsidR="00E576C7" w:rsidRDefault="00E576C7" w:rsidP="00E57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6C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выбранной темы обусловлена тем, что риски сопровождают деятельность любой организации и фактически являются её постоянным элементом. Независимо от масштаба или сферы работы, каждая организация сталкивается с вероятностью возникновения потерь или иных неблагоприятных последствий.</w:t>
      </w:r>
    </w:p>
    <w:p w14:paraId="12AB71AC" w14:textId="45B94B26" w:rsidR="00E576C7" w:rsidRPr="00E576C7" w:rsidRDefault="00E576C7" w:rsidP="00E57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6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сфере эта проблема проявляется особенно заметно. Это связано с высокой степенью неопределённости, а также с постоянными изменениями как во внешней, так и во внутренней среде. В результате формируется сложная совокупность рисков, среди которых можно выделить финансовые, кадровые, технологические и репутационные.</w:t>
      </w:r>
    </w:p>
    <w:p w14:paraId="56347E44" w14:textId="48FA2D24" w:rsidR="00E576C7" w:rsidRPr="00E576C7" w:rsidRDefault="00E576C7" w:rsidP="00E57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6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Недостаточное внимание к этим факторам или ошибки в управлении рисками могут привести к снижению качества образовательного процесса</w:t>
      </w:r>
      <w:r w:rsidR="005901EB" w:rsidRPr="005901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57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ослаблению устойчивости организации и потере доверия со стороны студентов, преподавателей и других заинтересованных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</w:t>
      </w:r>
      <w:r w:rsidRPr="00E57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9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не менее, </w:t>
      </w:r>
      <w:r w:rsidRPr="00E57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системного подхода позволяет не только своевременно выявлять потенциальные угрозы, но и принимать более обоснованные управленческие решения, </w:t>
      </w:r>
      <w:r w:rsidR="0059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помогут повысить </w:t>
      </w:r>
      <w:r w:rsidRPr="00E576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общую эффективность деятельности учреждения.</w:t>
      </w:r>
    </w:p>
    <w:p w14:paraId="635EE280" w14:textId="04392526" w:rsidR="00BF6A87" w:rsidRDefault="00BF6A87" w:rsidP="007B0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работы </w:t>
      </w:r>
      <w:r w:rsidRPr="007B0335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1A11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A11EB">
        <w:rPr>
          <w:rFonts w:ascii="Times New Roman" w:hAnsi="Times New Roman" w:cs="Times New Roman"/>
          <w:sz w:val="24"/>
          <w:szCs w:val="24"/>
        </w:rPr>
        <w:t xml:space="preserve">исследовать </w:t>
      </w:r>
      <w:r>
        <w:rPr>
          <w:rFonts w:ascii="Times New Roman" w:hAnsi="Times New Roman" w:cs="Times New Roman"/>
          <w:sz w:val="24"/>
          <w:szCs w:val="24"/>
        </w:rPr>
        <w:t>современные</w:t>
      </w:r>
      <w:r w:rsidR="001A11EB">
        <w:rPr>
          <w:rFonts w:ascii="Times New Roman" w:hAnsi="Times New Roman" w:cs="Times New Roman"/>
          <w:sz w:val="24"/>
          <w:szCs w:val="24"/>
        </w:rPr>
        <w:t xml:space="preserve"> методы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DE7">
        <w:rPr>
          <w:rFonts w:ascii="Times New Roman" w:hAnsi="Times New Roman" w:cs="Times New Roman"/>
          <w:sz w:val="24"/>
          <w:szCs w:val="24"/>
        </w:rPr>
        <w:t>подходы к</w:t>
      </w:r>
      <w:r>
        <w:rPr>
          <w:rFonts w:ascii="Times New Roman" w:hAnsi="Times New Roman" w:cs="Times New Roman"/>
          <w:sz w:val="24"/>
          <w:szCs w:val="24"/>
        </w:rPr>
        <w:t xml:space="preserve"> управлению рисками в образовательных организациях</w:t>
      </w:r>
      <w:r w:rsidR="001A11EB">
        <w:rPr>
          <w:rFonts w:ascii="Times New Roman" w:hAnsi="Times New Roman" w:cs="Times New Roman"/>
          <w:sz w:val="24"/>
          <w:szCs w:val="24"/>
        </w:rPr>
        <w:t xml:space="preserve"> для </w:t>
      </w:r>
      <w:r w:rsidR="001A11EB" w:rsidRPr="001A11EB">
        <w:rPr>
          <w:rFonts w:ascii="Times New Roman" w:hAnsi="Times New Roman" w:cs="Times New Roman"/>
          <w:sz w:val="24"/>
          <w:szCs w:val="24"/>
        </w:rPr>
        <w:t>повышения эффективности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FF1386" w14:textId="366969D6" w:rsidR="00FD6852" w:rsidRDefault="00FD6852" w:rsidP="007B0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852">
        <w:rPr>
          <w:rFonts w:ascii="Times New Roman" w:hAnsi="Times New Roman" w:cs="Times New Roman"/>
          <w:sz w:val="24"/>
          <w:szCs w:val="24"/>
        </w:rPr>
        <w:t>Для достижения поставленной цели в работе бы ли решены следующие задачи:</w:t>
      </w:r>
    </w:p>
    <w:p w14:paraId="01C17957" w14:textId="7EBCD600" w:rsidR="00FD6852" w:rsidRDefault="00FD6852" w:rsidP="00FD6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85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выявить основные </w:t>
      </w:r>
      <w:r w:rsidR="00B9424C">
        <w:rPr>
          <w:rFonts w:ascii="Times New Roman" w:hAnsi="Times New Roman" w:cs="Times New Roman"/>
          <w:sz w:val="24"/>
          <w:szCs w:val="24"/>
        </w:rPr>
        <w:t xml:space="preserve">виды </w:t>
      </w:r>
      <w:r>
        <w:rPr>
          <w:rFonts w:ascii="Times New Roman" w:hAnsi="Times New Roman" w:cs="Times New Roman"/>
          <w:sz w:val="24"/>
          <w:szCs w:val="24"/>
        </w:rPr>
        <w:t>риск</w:t>
      </w:r>
      <w:r w:rsidR="00B9424C">
        <w:rPr>
          <w:rFonts w:ascii="Times New Roman" w:hAnsi="Times New Roman" w:cs="Times New Roman"/>
          <w:sz w:val="24"/>
          <w:szCs w:val="24"/>
        </w:rPr>
        <w:t xml:space="preserve">ов, характерных для сферы образования </w:t>
      </w:r>
    </w:p>
    <w:p w14:paraId="2D6ABEE1" w14:textId="473B6AF5" w:rsidR="005A4616" w:rsidRPr="00FD6852" w:rsidRDefault="005A4616" w:rsidP="005A4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852">
        <w:rPr>
          <w:rFonts w:ascii="Times New Roman" w:hAnsi="Times New Roman" w:cs="Times New Roman"/>
          <w:sz w:val="24"/>
          <w:szCs w:val="24"/>
        </w:rPr>
        <w:t>–</w:t>
      </w:r>
      <w:r w:rsidR="001A11EB">
        <w:rPr>
          <w:rFonts w:ascii="Times New Roman" w:hAnsi="Times New Roman" w:cs="Times New Roman"/>
          <w:sz w:val="24"/>
          <w:szCs w:val="24"/>
        </w:rPr>
        <w:t xml:space="preserve"> исследовать современные методы</w:t>
      </w:r>
      <w:r w:rsidR="00A15AA6" w:rsidRPr="00A15AA6">
        <w:rPr>
          <w:rFonts w:ascii="Times New Roman" w:hAnsi="Times New Roman" w:cs="Times New Roman"/>
          <w:sz w:val="24"/>
          <w:szCs w:val="24"/>
        </w:rPr>
        <w:t xml:space="preserve"> </w:t>
      </w:r>
      <w:r w:rsidR="00A15AA6">
        <w:rPr>
          <w:rFonts w:ascii="Times New Roman" w:hAnsi="Times New Roman" w:cs="Times New Roman"/>
          <w:sz w:val="24"/>
          <w:szCs w:val="24"/>
        </w:rPr>
        <w:t>идентификации и</w:t>
      </w:r>
      <w:r w:rsidR="001A11EB">
        <w:rPr>
          <w:rFonts w:ascii="Times New Roman" w:hAnsi="Times New Roman" w:cs="Times New Roman"/>
          <w:sz w:val="24"/>
          <w:szCs w:val="24"/>
        </w:rPr>
        <w:t xml:space="preserve"> управления рисками </w:t>
      </w:r>
    </w:p>
    <w:p w14:paraId="37AA822C" w14:textId="77777777" w:rsidR="00B9424C" w:rsidRDefault="00FD6852" w:rsidP="00B94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85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разработать практические рекомендации по совершенствованию риск</w:t>
      </w:r>
      <w:r w:rsidR="00B9424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менеджмента.</w:t>
      </w:r>
    </w:p>
    <w:p w14:paraId="2FB5A93C" w14:textId="6CD6D6E8" w:rsidR="00B9424C" w:rsidRPr="005C6D38" w:rsidRDefault="00B9424C" w:rsidP="00B94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24C">
        <w:rPr>
          <w:rFonts w:ascii="Times New Roman" w:hAnsi="Times New Roman" w:cs="Times New Roman"/>
          <w:sz w:val="24"/>
          <w:szCs w:val="24"/>
        </w:rPr>
        <w:t xml:space="preserve">В работе использовались труды современных отечественных авторов, таких </w:t>
      </w:r>
      <w:r w:rsidR="005C6D38" w:rsidRPr="005C6D38">
        <w:rPr>
          <w:rFonts w:ascii="Times New Roman" w:hAnsi="Times New Roman" w:cs="Times New Roman"/>
          <w:sz w:val="24"/>
          <w:szCs w:val="24"/>
        </w:rPr>
        <w:t xml:space="preserve">как </w:t>
      </w:r>
      <w:r w:rsidR="005C6D38">
        <w:rPr>
          <w:rFonts w:ascii="Times New Roman" w:hAnsi="Times New Roman" w:cs="Times New Roman"/>
          <w:sz w:val="24"/>
          <w:szCs w:val="24"/>
        </w:rPr>
        <w:t>Э. И. Рахматуллина,</w:t>
      </w:r>
      <w:r w:rsidR="005C6D38" w:rsidRPr="005C6D38">
        <w:rPr>
          <w:rFonts w:ascii="Times New Roman" w:hAnsi="Times New Roman" w:cs="Times New Roman"/>
          <w:sz w:val="24"/>
          <w:szCs w:val="24"/>
        </w:rPr>
        <w:t xml:space="preserve"> С. А. Кучерявенко, С. А. Петренко, А. Н. Назарова</w:t>
      </w:r>
    </w:p>
    <w:p w14:paraId="62FCB320" w14:textId="4CFFC1CF" w:rsidR="00923C2A" w:rsidRDefault="00B9424C" w:rsidP="00923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24C">
        <w:rPr>
          <w:rFonts w:ascii="Times New Roman" w:hAnsi="Times New Roman" w:cs="Times New Roman"/>
          <w:sz w:val="24"/>
          <w:szCs w:val="24"/>
        </w:rPr>
        <w:t>Во время исследования данной темы, были использованы такие методы, как: изучение и анализ источников, сравнение и синтез полученной информации.</w:t>
      </w:r>
    </w:p>
    <w:p w14:paraId="11F4F599" w14:textId="3ED6CB68" w:rsidR="001A11EB" w:rsidRDefault="001A11EB" w:rsidP="001A11EB">
      <w:pPr>
        <w:pStyle w:val="a5"/>
        <w:spacing w:before="0" w:beforeAutospacing="0" w:after="0" w:afterAutospacing="0"/>
        <w:ind w:firstLine="709"/>
        <w:jc w:val="both"/>
      </w:pPr>
      <w:r>
        <w:t>В контексте учебных заведений риски классифицируются по двум основным категориям: системные и несистемные (уникальные).</w:t>
      </w:r>
    </w:p>
    <w:p w14:paraId="7D7EA2BB" w14:textId="77777777" w:rsidR="001A11EB" w:rsidRDefault="001A11EB" w:rsidP="001A11EB">
      <w:pPr>
        <w:pStyle w:val="a5"/>
        <w:spacing w:before="0" w:beforeAutospacing="0" w:after="0" w:afterAutospacing="0"/>
        <w:ind w:firstLine="709"/>
        <w:jc w:val="both"/>
      </w:pPr>
      <w:r w:rsidRPr="001A11EB">
        <w:rPr>
          <w:rStyle w:val="a4"/>
          <w:b w:val="0"/>
          <w:bCs w:val="0"/>
        </w:rPr>
        <w:t>Системные риски</w:t>
      </w:r>
      <w:r>
        <w:t xml:space="preserve"> обусловлены самой системой образования и связаны с внешней средой учебного заведения. Они неизбежны и подлежат прогнозированию и оценке. К факторам макросреды, влияющим на системные риски, относятся политические, экономические и социальные условия, законодательные изменения, демографические тенденции и глобальные социально-экономические процессы.</w:t>
      </w:r>
    </w:p>
    <w:p w14:paraId="7E35C9F4" w14:textId="499A3ADD" w:rsidR="001A11EB" w:rsidRDefault="001A11EB" w:rsidP="001A11EB">
      <w:pPr>
        <w:pStyle w:val="a5"/>
        <w:spacing w:before="0" w:beforeAutospacing="0" w:after="0" w:afterAutospacing="0"/>
        <w:ind w:firstLine="709"/>
        <w:jc w:val="both"/>
      </w:pPr>
      <w:r w:rsidRPr="001A11EB">
        <w:rPr>
          <w:rStyle w:val="a4"/>
          <w:b w:val="0"/>
          <w:bCs w:val="0"/>
        </w:rPr>
        <w:t>Несистемные (уникальные) риски</w:t>
      </w:r>
      <w:r>
        <w:t xml:space="preserve"> зависят от внутренней среды и непосредственного окружения образовательной организации. Они могут быть уменьшены или локализованы путем организационных и управленческих мер. К внутренним факторам относятся качество преподавательского состава, организация учебного процесса, финансовое состояние и материально-техническая база. К внешним уникальным рискам относятся потребители образовательных услуг (студенты и их семьи), конкуренты, предприятия для трудоустройства выпускников, а также государственные органы, осуществляющие контроль в сфере образования.</w:t>
      </w:r>
    </w:p>
    <w:p w14:paraId="3CD10B40" w14:textId="13B1AAC5" w:rsidR="00A15AA6" w:rsidRDefault="00A15AA6" w:rsidP="001A11EB">
      <w:pPr>
        <w:pStyle w:val="a5"/>
        <w:spacing w:before="0" w:beforeAutospacing="0" w:after="0" w:afterAutospacing="0"/>
        <w:ind w:firstLine="709"/>
        <w:jc w:val="both"/>
      </w:pPr>
      <w:r>
        <w:t xml:space="preserve">Прежде чем приступить к управлению рисками, их необходимо предварительно выявить. Для этого используются различные методы идентификации, которые позволяют определить потенциальные угрозы и проблемные области. К числу таких методов относятся мозговой штурм –  коллективное обсуждение возможных рисков, SWOT-анализ – оценка сильных и слабых сторон организации, а также возможностей и угроз, метод </w:t>
      </w:r>
      <w:proofErr w:type="spellStart"/>
      <w:r>
        <w:t>Делфи</w:t>
      </w:r>
      <w:proofErr w:type="spellEnd"/>
      <w:r>
        <w:t xml:space="preserve"> – экспертная оценка с последующим формированием сводного вывода, метод Исикавы </w:t>
      </w:r>
      <w:r>
        <w:lastRenderedPageBreak/>
        <w:t>(диаграмма «рыбья кость») –  системный анализ причин и последствий потенциальных проблем, метод аналогий –  изучение опыта других организаций и проектов, а также анализ результатов специальной оценки условий труда и производственного контроля, позволяющий выявить риски через официальные проверки безопасности и охраны труда.</w:t>
      </w:r>
    </w:p>
    <w:p w14:paraId="709196BD" w14:textId="349C6984" w:rsidR="001A11EB" w:rsidRDefault="001A11EB" w:rsidP="001A11EB">
      <w:pPr>
        <w:pStyle w:val="a5"/>
        <w:spacing w:before="0" w:beforeAutospacing="0" w:after="0" w:afterAutospacing="0"/>
        <w:ind w:firstLine="709"/>
        <w:jc w:val="both"/>
      </w:pPr>
      <w:r>
        <w:t>Для минимизации воздействия рисков применяются различные методы управления:</w:t>
      </w:r>
      <w:r w:rsidR="00A15AA6" w:rsidRPr="00A15AA6">
        <w:t xml:space="preserve"> </w:t>
      </w:r>
      <w:r>
        <w:t>компенсация (создание резервов, прогнозирование и мониторинг внешней среды), распределение (разделение рисков между структурными подразделениями или проектами), трансфер (передача части функций на аутсорсинг) и уход от рисков (отказ от рискованных проектов или партнеров). Наиболее эффективным считается метод компенсации, который позволяет заранее предотвратить возможные негативные последствия за счет опережающих действий.</w:t>
      </w:r>
    </w:p>
    <w:p w14:paraId="6C039020" w14:textId="3155CF54" w:rsidR="00F51644" w:rsidRDefault="00F51644" w:rsidP="001A11EB">
      <w:pPr>
        <w:pStyle w:val="a5"/>
        <w:spacing w:before="0" w:beforeAutospacing="0" w:after="0" w:afterAutospacing="0"/>
        <w:ind w:firstLine="709"/>
        <w:jc w:val="both"/>
      </w:pPr>
      <w:r>
        <w:t>Среди ключевых методов также выделяются: диверсификация – расширение географии и тематики образовательной и научной деятельности, увеличение перечня программ и взаимодействие с другими вузами и работодателями; лимитирование – установление нормативных значений стратегических показателей и контроль их выполнения; резервирование средств – формирование внутренних фондов для обеспечения материально-технической базы и финансовой устойчивости.</w:t>
      </w:r>
    </w:p>
    <w:p w14:paraId="58F5BBAC" w14:textId="19523707" w:rsidR="00F51644" w:rsidRDefault="00F51644" w:rsidP="001A11EB">
      <w:pPr>
        <w:pStyle w:val="a5"/>
        <w:spacing w:before="0" w:beforeAutospacing="0" w:after="0" w:afterAutospacing="0"/>
        <w:ind w:firstLine="709"/>
        <w:jc w:val="both"/>
      </w:pPr>
      <w:r>
        <w:t xml:space="preserve">В управлении рисками образовательной организации важно придерживаться интегрированного подхода, </w:t>
      </w:r>
      <w:proofErr w:type="spellStart"/>
      <w:r>
        <w:t>т.е</w:t>
      </w:r>
      <w:proofErr w:type="spellEnd"/>
      <w:r>
        <w:t xml:space="preserve"> способа для организации увидеть «единую картину всех своих рисков». Вместо того, чтобы решать проблемы по мере их поступления интегрированный подход помогает понять, как все риски связаны между собой, и использовать это знание для достижения главных целей организации, как в долгосрочной перспективе, так и в ежедневной работе.</w:t>
      </w:r>
      <w:r w:rsidRPr="00F51644">
        <w:t xml:space="preserve"> </w:t>
      </w:r>
      <w:r>
        <w:t>Например, в интегрированном подходе одновременно применяются: диверсификация образовательных программ, распределение ответственности между подразделениями, резервирование финансовых средств и трансфер функций на аутсорсинг.</w:t>
      </w:r>
    </w:p>
    <w:p w14:paraId="0ABB0D33" w14:textId="6B1E8DB9" w:rsidR="001A11EB" w:rsidRDefault="001A11EB" w:rsidP="0006195D">
      <w:pPr>
        <w:pStyle w:val="a5"/>
        <w:spacing w:before="0" w:beforeAutospacing="0" w:after="0" w:afterAutospacing="0"/>
        <w:ind w:firstLine="709"/>
        <w:jc w:val="both"/>
      </w:pPr>
      <w:r>
        <w:t>Анализ и классификация рисков позволяют образовательным организациям прогнозировать угрозы, выбирать оптимальные стратегии управления и повышать устойчивость образовательного процесса.</w:t>
      </w:r>
    </w:p>
    <w:p w14:paraId="7D3E844F" w14:textId="316274A9" w:rsidR="0006195D" w:rsidRDefault="0006195D" w:rsidP="0006195D">
      <w:pPr>
        <w:pStyle w:val="a5"/>
        <w:spacing w:before="0" w:beforeAutospacing="0" w:after="0" w:afterAutospacing="0"/>
        <w:ind w:firstLine="709"/>
        <w:jc w:val="both"/>
      </w:pPr>
      <w:r>
        <w:t>Для повышения эффективности управления рисками в образовательной организации необходимо не только проводить формальный анализ угроз, но и внедрять комплекс мер, способствующих устойчивому развитию учреждения и снижению негативных последствий. Во-первых, разрабатывается понятная и прозрачная политика управления рисками с определением ключевых принципов, распределением ответственности между структурными подразделениями и общим алгоритмом работы с рисками. Такая модель служит ориентиром для всех сотрудников и исключает фрагментарную практику.</w:t>
      </w:r>
    </w:p>
    <w:p w14:paraId="6266CF78" w14:textId="644D4EA5" w:rsidR="0006195D" w:rsidRDefault="0006195D" w:rsidP="0006195D">
      <w:pPr>
        <w:pStyle w:val="a5"/>
        <w:spacing w:before="0" w:beforeAutospacing="0" w:after="0" w:afterAutospacing="0"/>
        <w:ind w:firstLine="709"/>
        <w:jc w:val="both"/>
      </w:pPr>
      <w:r>
        <w:t>Ключевым условием является интеграция риск-ориентированных практик в повседневную работу учреждения. Это предполагает, что оценка рисков будет включена в процесс формирования планов, бюджетов, программ развития и принятия ключевых управленческих решений. Привлечение руководителей подразделений к оценке рисков и включение показателей работы с рисками в систему оценки эффективности деятельности способствует тому, чтобы риск-менеджмент стал не просто инструментом контроля, а стимулом стратегического развития.</w:t>
      </w:r>
    </w:p>
    <w:p w14:paraId="333556C9" w14:textId="77777777" w:rsidR="005901EB" w:rsidRPr="005901EB" w:rsidRDefault="005901EB" w:rsidP="00590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1E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эффективного управления рисками важно, чтобы сотрудники на всех уровнях понимали его основные принципы и обладали базовыми практическими навыками. Как показывает практика, регулярное обучение и повышение квалификации в этой области не только повышают компетентность персонала, но и в целом положительно влияют на организационную культуру, снижая сопротивление при внедрении новых подходов.</w:t>
      </w:r>
    </w:p>
    <w:p w14:paraId="204F1E0F" w14:textId="77777777" w:rsidR="005901EB" w:rsidRPr="005901EB" w:rsidRDefault="005901EB" w:rsidP="00590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1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имеет смысл проводить не только общие обучающие мероприятия, но и более узконаправленные тренинги, адаптированные под особенности конкретного образовательного учреждения и его деятельности.</w:t>
      </w:r>
    </w:p>
    <w:p w14:paraId="1640F267" w14:textId="77777777" w:rsidR="005901EB" w:rsidRPr="005901EB" w:rsidRDefault="005901EB" w:rsidP="00590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значимым является развитие открытого обмена информацией о рисках внутри организации. Речь идёт о создании понятных и доступных способов сообщать о </w:t>
      </w:r>
      <w:r w:rsidRPr="005901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потенциальных проблемах, регулярном обсуждении таких вопросов на рабочих встречах, а также включении информации о рисках в отчётные материалы. Такой подход позволяет своевременно выявлять возникающие угрозы и реагировать на них до того, как они начнут оказывать серьёзное влияние.</w:t>
      </w:r>
    </w:p>
    <w:p w14:paraId="36018316" w14:textId="34A4C9B5" w:rsidR="001A11EB" w:rsidRDefault="005901EB" w:rsidP="00923C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1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Завершающим, но не менее важным элементом совершенствования риск-менеджмента является его регулярный пересмотр с учётом изменений как во внешней, так и во внутренней среде. Практика показывает, что периодическая оценка результатов работы с рисками, их обсуждение на уровне руководства и своевременная корректировка подходов позволяют организации оставаться гибкой и быстрее реагировать на новые вызовы.</w:t>
      </w:r>
    </w:p>
    <w:p w14:paraId="30DAEFFC" w14:textId="77777777" w:rsidR="005901EB" w:rsidRPr="005901EB" w:rsidRDefault="005901EB" w:rsidP="00923C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50234" w14:textId="2482452E" w:rsidR="005901EB" w:rsidRDefault="0006195D" w:rsidP="005901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195D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14:paraId="4FDA29D5" w14:textId="77777777" w:rsidR="00967EF4" w:rsidRDefault="00967EF4" w:rsidP="00967E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6528F5F" w14:textId="77777777" w:rsidR="00783372" w:rsidRPr="00783372" w:rsidRDefault="00783372" w:rsidP="00967EF4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783372">
        <w:t>Воробьева, Н.А. Управление рисками в системе высшего образования: проблемы и перспективы // Университетское управление: практика и анализ. 2015. № 6 (106). С. 78–85. URL: </w:t>
      </w:r>
      <w:hyperlink r:id="rId5" w:tgtFrame="_blank" w:history="1">
        <w:r w:rsidRPr="00783372">
          <w:t>https://elar.urfu.ru/bitstream/10995/53271/1/UM_2015_6_011.pdf</w:t>
        </w:r>
      </w:hyperlink>
    </w:p>
    <w:p w14:paraId="38531A5C" w14:textId="77777777" w:rsidR="00783372" w:rsidRPr="00783372" w:rsidRDefault="00783372" w:rsidP="00967EF4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783372">
        <w:t>Козлова, Е.С. Интегрированная система управления рисками образовательной организации // Вестник Тамбовского государственного технического университета. 2020. № 3. С. 45–52. URL: </w:t>
      </w:r>
      <w:hyperlink r:id="rId6" w:tgtFrame="_blank" w:history="1">
        <w:r w:rsidRPr="00783372">
          <w:t>https://vernadsky.tstu.ru/pdf/2020/03/08.pdf</w:t>
        </w:r>
      </w:hyperlink>
    </w:p>
    <w:p w14:paraId="67271602" w14:textId="77777777" w:rsidR="00783372" w:rsidRPr="00783372" w:rsidRDefault="00783372" w:rsidP="00967EF4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783372">
        <w:t>Сидорова, А.А. Подходы к оценке рисков в вузах // Молодой ученый. 2021. № 10 (352). С. 112–115. URL: </w:t>
      </w:r>
      <w:hyperlink r:id="rId7" w:tgtFrame="_blank" w:history="1">
        <w:r w:rsidRPr="00783372">
          <w:t>https://moluch.ru/archive/390/85916</w:t>
        </w:r>
      </w:hyperlink>
    </w:p>
    <w:p w14:paraId="61843BB7" w14:textId="77777777" w:rsidR="00783372" w:rsidRPr="00E576C7" w:rsidRDefault="00783372" w:rsidP="00967EF4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lang w:val="en-US"/>
        </w:rPr>
      </w:pPr>
      <w:r w:rsidRPr="00E576C7">
        <w:rPr>
          <w:lang w:val="en-US"/>
        </w:rPr>
        <w:t>Risk matters: a case for enterprise risk management in higher education / Smith, J., Lee, K. // University of Maryland, Robert H. Smith School of Business. 2021. URL: </w:t>
      </w:r>
      <w:hyperlink r:id="rId8" w:tgtFrame="_blank" w:history="1">
        <w:r w:rsidRPr="00E576C7">
          <w:rPr>
            <w:lang w:val="en-US"/>
          </w:rPr>
          <w:t>https://www.rhsmith.umd.edu/news/risk-matters-case-enterprise-risk-management-higher-education</w:t>
        </w:r>
      </w:hyperlink>
    </w:p>
    <w:p w14:paraId="28F3D863" w14:textId="77777777" w:rsidR="00783372" w:rsidRPr="00783372" w:rsidRDefault="00783372" w:rsidP="00967EF4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E576C7">
        <w:rPr>
          <w:lang w:val="en-US"/>
        </w:rPr>
        <w:t xml:space="preserve">Top risks 2026: higher education sector. </w:t>
      </w:r>
      <w:r w:rsidRPr="00783372">
        <w:t>UE (</w:t>
      </w:r>
      <w:proofErr w:type="spellStart"/>
      <w:r w:rsidRPr="00783372">
        <w:t>Universities</w:t>
      </w:r>
      <w:proofErr w:type="spellEnd"/>
      <w:r w:rsidRPr="00783372">
        <w:t xml:space="preserve"> UK). 2025. URL: </w:t>
      </w:r>
      <w:hyperlink r:id="rId9" w:tgtFrame="_blank" w:history="1">
        <w:r w:rsidRPr="00783372">
          <w:t>https://www.ue.org/globalassets/risk-management/reports/top-risks-report-he-2026.pdf</w:t>
        </w:r>
      </w:hyperlink>
    </w:p>
    <w:p w14:paraId="56864919" w14:textId="2484FD49" w:rsidR="0006195D" w:rsidRDefault="0006195D" w:rsidP="0078337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348D1C3" w14:textId="77777777" w:rsidR="0006195D" w:rsidRPr="0006195D" w:rsidRDefault="0006195D" w:rsidP="00061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6195D" w:rsidRPr="0006195D" w:rsidSect="00190F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04C0"/>
    <w:multiLevelType w:val="hybridMultilevel"/>
    <w:tmpl w:val="08EA35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091396A"/>
    <w:multiLevelType w:val="multilevel"/>
    <w:tmpl w:val="92C2C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A4"/>
    <w:rsid w:val="0006195D"/>
    <w:rsid w:val="00190FA2"/>
    <w:rsid w:val="001A0777"/>
    <w:rsid w:val="001A11EB"/>
    <w:rsid w:val="0027609D"/>
    <w:rsid w:val="00343DF8"/>
    <w:rsid w:val="004775EE"/>
    <w:rsid w:val="005427D0"/>
    <w:rsid w:val="005901EB"/>
    <w:rsid w:val="005A4616"/>
    <w:rsid w:val="005C6D38"/>
    <w:rsid w:val="0070143A"/>
    <w:rsid w:val="00731E3D"/>
    <w:rsid w:val="00783372"/>
    <w:rsid w:val="007B0335"/>
    <w:rsid w:val="00856DE7"/>
    <w:rsid w:val="00923C2A"/>
    <w:rsid w:val="00946ADC"/>
    <w:rsid w:val="00967EF4"/>
    <w:rsid w:val="009D29F4"/>
    <w:rsid w:val="00A15AA6"/>
    <w:rsid w:val="00B93536"/>
    <w:rsid w:val="00B9424C"/>
    <w:rsid w:val="00BE0F54"/>
    <w:rsid w:val="00BF6A87"/>
    <w:rsid w:val="00C842A4"/>
    <w:rsid w:val="00D547D2"/>
    <w:rsid w:val="00E576C7"/>
    <w:rsid w:val="00F51644"/>
    <w:rsid w:val="00FD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4C13"/>
  <w15:chartTrackingRefBased/>
  <w15:docId w15:val="{2BAF6733-4E88-45BC-A25A-AD5F71C3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6DE7"/>
    <w:rPr>
      <w:color w:val="0000FF"/>
      <w:u w:val="single"/>
    </w:rPr>
  </w:style>
  <w:style w:type="character" w:styleId="a4">
    <w:name w:val="Strong"/>
    <w:basedOn w:val="a0"/>
    <w:uiPriority w:val="22"/>
    <w:qFormat/>
    <w:rsid w:val="001A0777"/>
    <w:rPr>
      <w:b/>
      <w:bCs/>
    </w:rPr>
  </w:style>
  <w:style w:type="paragraph" w:styleId="a5">
    <w:name w:val="Normal (Web)"/>
    <w:basedOn w:val="a"/>
    <w:uiPriority w:val="99"/>
    <w:unhideWhenUsed/>
    <w:rsid w:val="009D2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783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hsmith.umd.edu/news/risk-matters-case-enterprise-risk-management-higher-educ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luch.ru/archive/390/859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rnadsky.tstu.ru/pdf/2020/03/08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ar.urfu.ru/bitstream/10995/53271/1/UM_2015_6_01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e.org/globalassets/risk-management/reports/top-risks-report-he-202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Рузанна Тамбиева</dc:creator>
  <cp:keywords/>
  <dc:description/>
  <cp:lastModifiedBy>Рузанна Тамбиева</cp:lastModifiedBy>
  <cp:revision>2</cp:revision>
  <dcterms:created xsi:type="dcterms:W3CDTF">2026-04-06T10:40:00Z</dcterms:created>
  <dcterms:modified xsi:type="dcterms:W3CDTF">2026-04-06T10:40:00Z</dcterms:modified>
</cp:coreProperties>
</file>