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EE" w:rsidRDefault="00336E48">
      <w:pPr>
        <w:spacing w:after="0" w:line="240" w:lineRule="auto"/>
        <w:ind w:left="-2"/>
        <w:jc w:val="center"/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 xml:space="preserve">Обучающие игры как </w:t>
      </w:r>
      <w:r w:rsidR="000863BA"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>средство формирования иноязычной речевой</w:t>
      </w:r>
      <w:r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 xml:space="preserve"> </w:t>
      </w:r>
      <w:r w:rsidR="000863BA"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>компетенции</w:t>
      </w:r>
      <w:r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 xml:space="preserve"> на уроках англи</w:t>
      </w:r>
      <w:r w:rsidR="000863BA"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  <w:t>йского языка в начальной школе</w:t>
      </w:r>
    </w:p>
    <w:p w:rsidR="00D836EE" w:rsidRDefault="00D836EE">
      <w:pPr>
        <w:spacing w:after="0" w:line="240" w:lineRule="auto"/>
        <w:ind w:left="-2"/>
        <w:jc w:val="center"/>
        <w:rPr>
          <w:rFonts w:ascii="Times New Roman" w:eastAsia="Andale Sans UI" w:hAnsi="Times New Roman"/>
          <w:b/>
          <w:i/>
          <w:kern w:val="3"/>
          <w:sz w:val="24"/>
          <w:szCs w:val="28"/>
          <w:lang w:eastAsia="ja-JP"/>
        </w:rPr>
      </w:pPr>
    </w:p>
    <w:p w:rsidR="00D836EE" w:rsidRDefault="00336E48">
      <w:pPr>
        <w:pStyle w:val="a5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</w:t>
      </w:r>
      <w:r w:rsidR="000863B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Яганова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С.И.</w:t>
      </w:r>
    </w:p>
    <w:p w:rsidR="00D836EE" w:rsidRDefault="00336E4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D836EE" w:rsidRDefault="00336E4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Научный руководитель - 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Джандар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Б.М.,</w:t>
      </w:r>
    </w:p>
    <w:p w:rsidR="00D836EE" w:rsidRDefault="00336E4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доктор</w:t>
      </w:r>
      <w:proofErr w:type="gramEnd"/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пед.наук</w:t>
      </w:r>
      <w:proofErr w:type="spellEnd"/>
      <w:r>
        <w:rPr>
          <w:rFonts w:ascii="Times New Roman" w:eastAsia="Calibri" w:hAnsi="Times New Roman" w:cs="Times New Roman"/>
          <w:bCs/>
          <w:i/>
          <w:sz w:val="24"/>
          <w:szCs w:val="28"/>
        </w:rPr>
        <w:t>, профессор</w:t>
      </w:r>
    </w:p>
    <w:p w:rsidR="00D836EE" w:rsidRDefault="00336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D836EE" w:rsidRDefault="00D836EE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36EE" w:rsidRDefault="00D836EE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36E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Актуальность </w:t>
      </w:r>
      <w:r>
        <w:rPr>
          <w:rFonts w:ascii="Times New Roman" w:hAnsi="Times New Roman"/>
          <w:sz w:val="24"/>
          <w:szCs w:val="24"/>
        </w:rPr>
        <w:t xml:space="preserve">темы настоящего исследования обусловлена тем, что в условиях современного образования особое значение приобретает формирование иноязычной коммуникативной компетенции учащихся уже на начальном этапе </w:t>
      </w:r>
      <w:r w:rsidR="000863BA">
        <w:rPr>
          <w:rFonts w:ascii="Times New Roman" w:hAnsi="Times New Roman"/>
          <w:sz w:val="24"/>
          <w:szCs w:val="24"/>
        </w:rPr>
        <w:t>обучения, так как н</w:t>
      </w:r>
      <w:r>
        <w:rPr>
          <w:rFonts w:ascii="Times New Roman" w:hAnsi="Times New Roman"/>
          <w:sz w:val="24"/>
          <w:szCs w:val="24"/>
        </w:rPr>
        <w:t>ачальная школа является важнейшим этапом, на котором закладываются основы владения иностранным языком, формируются первичные речевые навыки и развивается интерес к изучению языка. В этой связи возрастает необходимость поиска эффективных методов обучения, соответствующих возрастным особенностям младших школьников.</w:t>
      </w:r>
    </w:p>
    <w:p w:rsidR="00D836E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современным методическим подходам, обучение иностранному языку должно носить коммуникативный характер и быть направлено на формирование способности к практическому использованию языка в различных ситуациях общения. При этом, как отмечает Н. Д. Гальскова, процесс обучения должен учитывать психолого-педагогические особенности младших школьников, включая их потребность в игровой деятельности, эмоциональность и наглядно-образное мышление [1]. В этих условиях обучающие игры выступают эффективным средством организации учебного процесса.</w:t>
      </w:r>
    </w:p>
    <w:p w:rsidR="00D836E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обучающих игр способствует активизации познавательной деятельности учащихся, повышению мотивации и созданию благоприятной психологической атмосферы. По мнению A. </w:t>
      </w:r>
      <w:proofErr w:type="spellStart"/>
      <w:r>
        <w:rPr>
          <w:rFonts w:ascii="Times New Roman" w:hAnsi="Times New Roman"/>
          <w:sz w:val="24"/>
          <w:szCs w:val="24"/>
        </w:rPr>
        <w:t>Wright</w:t>
      </w:r>
      <w:proofErr w:type="spellEnd"/>
      <w:r>
        <w:rPr>
          <w:rFonts w:ascii="Times New Roman" w:hAnsi="Times New Roman"/>
          <w:sz w:val="24"/>
          <w:szCs w:val="24"/>
        </w:rPr>
        <w:t>, игры представляют собой форму организации учебной деятельности, при которой усвоение языкового материала происходит в процессе активного взаимодействия учащихся, что способствует развитию речевых навыков [2]. Игровая деятельность обеспечивает естественное включение учащихся в процесс общения, снижает уровень тревожности и способствует преодолению языкового барьера.</w:t>
      </w:r>
    </w:p>
    <w:p w:rsid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Объектом </w:t>
      </w:r>
      <w:r>
        <w:rPr>
          <w:rFonts w:ascii="Times New Roman" w:hAnsi="Times New Roman"/>
          <w:sz w:val="24"/>
          <w:szCs w:val="24"/>
        </w:rPr>
        <w:t xml:space="preserve">исследования является процесс обучения иностранному языку в общеобразовательной школе. </w:t>
      </w:r>
    </w:p>
    <w:p w:rsid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Предметом </w:t>
      </w:r>
      <w:r>
        <w:rPr>
          <w:rFonts w:ascii="Times New Roman" w:hAnsi="Times New Roman"/>
          <w:sz w:val="24"/>
          <w:szCs w:val="24"/>
        </w:rPr>
        <w:t xml:space="preserve">исследования выступает методика применения обучающих игр как </w:t>
      </w:r>
      <w:r w:rsidR="00C6406E">
        <w:rPr>
          <w:rFonts w:ascii="Times New Roman" w:hAnsi="Times New Roman"/>
          <w:sz w:val="24"/>
          <w:szCs w:val="24"/>
        </w:rPr>
        <w:t>средства формирования иноязычной речевой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C6406E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 xml:space="preserve"> учащихся начальной школы. </w:t>
      </w:r>
    </w:p>
    <w:p w:rsidR="00D836EE" w:rsidRP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C6406E">
        <w:rPr>
          <w:rFonts w:ascii="Times New Roman" w:hAnsi="Times New Roman"/>
          <w:i/>
          <w:iCs/>
          <w:sz w:val="24"/>
          <w:szCs w:val="24"/>
        </w:rPr>
        <w:t xml:space="preserve">Цель </w:t>
      </w:r>
      <w:r w:rsidRPr="00C6406E">
        <w:rPr>
          <w:rFonts w:ascii="Times New Roman" w:hAnsi="Times New Roman"/>
          <w:sz w:val="24"/>
          <w:szCs w:val="24"/>
        </w:rPr>
        <w:t>исследования заключается в теоретическом обосновании и разработке эффективной ме</w:t>
      </w:r>
      <w:r w:rsidR="00C6406E" w:rsidRPr="00C6406E">
        <w:rPr>
          <w:rFonts w:ascii="Times New Roman" w:hAnsi="Times New Roman"/>
          <w:sz w:val="24"/>
          <w:szCs w:val="24"/>
        </w:rPr>
        <w:t>тодики применения обучающих игр в процессе формирования иноязычной речевой компетенции младших школьников.</w:t>
      </w:r>
    </w:p>
    <w:p w:rsid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C6406E">
        <w:rPr>
          <w:rFonts w:ascii="Times New Roman" w:hAnsi="Times New Roman"/>
          <w:sz w:val="24"/>
          <w:szCs w:val="24"/>
        </w:rPr>
        <w:t xml:space="preserve">В соответствии с поставленной целью были определены следующие </w:t>
      </w:r>
      <w:r w:rsidRPr="00C6406E">
        <w:rPr>
          <w:rFonts w:ascii="Times New Roman" w:hAnsi="Times New Roman"/>
          <w:i/>
          <w:iCs/>
          <w:sz w:val="24"/>
          <w:szCs w:val="24"/>
        </w:rPr>
        <w:t>задачи</w:t>
      </w:r>
      <w:r w:rsidRPr="00C6406E">
        <w:rPr>
          <w:rFonts w:ascii="Times New Roman" w:hAnsi="Times New Roman"/>
          <w:sz w:val="24"/>
          <w:szCs w:val="24"/>
        </w:rPr>
        <w:t xml:space="preserve">: </w:t>
      </w:r>
    </w:p>
    <w:p w:rsidR="00C6406E" w:rsidRDefault="00C6406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336E48" w:rsidRPr="00C6406E">
        <w:rPr>
          <w:rFonts w:ascii="Times New Roman" w:hAnsi="Times New Roman"/>
          <w:sz w:val="24"/>
          <w:szCs w:val="24"/>
        </w:rPr>
        <w:t xml:space="preserve">изучить методическую и психолого-педагогическую литературу по проблеме использования обучающих игр; </w:t>
      </w:r>
    </w:p>
    <w:p w:rsidR="00C6406E" w:rsidRDefault="00C6406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336E48" w:rsidRPr="00C6406E">
        <w:rPr>
          <w:rFonts w:ascii="Times New Roman" w:hAnsi="Times New Roman"/>
          <w:sz w:val="24"/>
          <w:szCs w:val="24"/>
        </w:rPr>
        <w:t>проанализировать их эффективность в процесс</w:t>
      </w:r>
      <w:r>
        <w:rPr>
          <w:rFonts w:ascii="Times New Roman" w:hAnsi="Times New Roman"/>
          <w:sz w:val="24"/>
          <w:szCs w:val="24"/>
        </w:rPr>
        <w:t xml:space="preserve">е формирования </w:t>
      </w:r>
      <w:r w:rsidR="008F48D7" w:rsidRPr="008F48D7">
        <w:rPr>
          <w:rFonts w:ascii="Times New Roman" w:hAnsi="Times New Roman"/>
          <w:sz w:val="24"/>
          <w:szCs w:val="24"/>
        </w:rPr>
        <w:t>иноязычной речевой компетенции</w:t>
      </w:r>
      <w:r>
        <w:rPr>
          <w:rFonts w:ascii="Times New Roman" w:hAnsi="Times New Roman"/>
          <w:sz w:val="24"/>
          <w:szCs w:val="24"/>
        </w:rPr>
        <w:t>;</w:t>
      </w:r>
    </w:p>
    <w:p w:rsidR="00D836EE" w:rsidRPr="00C6406E" w:rsidRDefault="00C6406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336E48" w:rsidRPr="00C6406E">
        <w:rPr>
          <w:rFonts w:ascii="Times New Roman" w:hAnsi="Times New Roman"/>
          <w:sz w:val="24"/>
          <w:szCs w:val="24"/>
        </w:rPr>
        <w:t>разработать комплекс упражнений на основе игровых технологий.</w:t>
      </w:r>
    </w:p>
    <w:p w:rsidR="00FD5A80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FD5A80">
        <w:rPr>
          <w:rFonts w:ascii="Times New Roman" w:hAnsi="Times New Roman"/>
          <w:sz w:val="24"/>
          <w:szCs w:val="24"/>
        </w:rPr>
        <w:t xml:space="preserve">Для решения поставленных задач использовались следующие </w:t>
      </w:r>
      <w:r w:rsidRPr="00FD5A80">
        <w:rPr>
          <w:rFonts w:ascii="Times New Roman" w:hAnsi="Times New Roman"/>
          <w:i/>
          <w:iCs/>
          <w:sz w:val="24"/>
          <w:szCs w:val="24"/>
        </w:rPr>
        <w:t>методы</w:t>
      </w:r>
      <w:r w:rsidR="00FD5A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5A80" w:rsidRPr="00FD5A80">
        <w:rPr>
          <w:rFonts w:ascii="Times New Roman" w:hAnsi="Times New Roman"/>
          <w:iCs/>
          <w:sz w:val="24"/>
          <w:szCs w:val="24"/>
        </w:rPr>
        <w:t>исследования</w:t>
      </w:r>
      <w:r w:rsidRPr="00FD5A80">
        <w:rPr>
          <w:rFonts w:ascii="Times New Roman" w:hAnsi="Times New Roman"/>
          <w:sz w:val="24"/>
          <w:szCs w:val="24"/>
        </w:rPr>
        <w:t>:</w:t>
      </w:r>
    </w:p>
    <w:p w:rsidR="00FD5A80" w:rsidRDefault="00FD5A80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анализ отечественной и зарубежной литературы по теме исследования;</w:t>
      </w:r>
    </w:p>
    <w:p w:rsidR="00FD5A80" w:rsidRDefault="00FD5A80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обобщение опыта преподавателей в области исследования</w:t>
      </w:r>
      <w:r w:rsidR="00336E48" w:rsidRPr="00FD5A80">
        <w:rPr>
          <w:rFonts w:ascii="Times New Roman" w:hAnsi="Times New Roman"/>
          <w:sz w:val="24"/>
          <w:szCs w:val="24"/>
        </w:rPr>
        <w:t xml:space="preserve">. </w:t>
      </w:r>
    </w:p>
    <w:p w:rsidR="00E10881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E10881">
        <w:rPr>
          <w:rFonts w:ascii="Times New Roman" w:hAnsi="Times New Roman"/>
          <w:i/>
          <w:iCs/>
          <w:sz w:val="24"/>
          <w:szCs w:val="24"/>
        </w:rPr>
        <w:t xml:space="preserve">Теоретическая значимость </w:t>
      </w:r>
      <w:r w:rsidRPr="00E10881">
        <w:rPr>
          <w:rFonts w:ascii="Times New Roman" w:hAnsi="Times New Roman"/>
          <w:sz w:val="24"/>
          <w:szCs w:val="24"/>
        </w:rPr>
        <w:t xml:space="preserve">исследования заключается в систематизации научных представлений о роли обучающих игр в процессе формирования </w:t>
      </w:r>
      <w:r w:rsidR="008F48D7" w:rsidRPr="008F48D7">
        <w:rPr>
          <w:rFonts w:ascii="Times New Roman" w:hAnsi="Times New Roman"/>
          <w:sz w:val="24"/>
          <w:szCs w:val="24"/>
        </w:rPr>
        <w:t>иноязычной речевой компетенции</w:t>
      </w:r>
      <w:r w:rsidRPr="00E10881">
        <w:rPr>
          <w:rFonts w:ascii="Times New Roman" w:hAnsi="Times New Roman"/>
          <w:sz w:val="24"/>
          <w:szCs w:val="24"/>
        </w:rPr>
        <w:t xml:space="preserve">. </w:t>
      </w:r>
    </w:p>
    <w:p w:rsidR="00D836EE" w:rsidRPr="00E10881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E10881">
        <w:rPr>
          <w:rFonts w:ascii="Times New Roman" w:hAnsi="Times New Roman"/>
          <w:i/>
          <w:iCs/>
          <w:sz w:val="24"/>
          <w:szCs w:val="24"/>
        </w:rPr>
        <w:lastRenderedPageBreak/>
        <w:t>Практическая значимость</w:t>
      </w:r>
      <w:r w:rsidRPr="00E10881">
        <w:rPr>
          <w:rFonts w:ascii="Times New Roman" w:hAnsi="Times New Roman"/>
          <w:sz w:val="24"/>
          <w:szCs w:val="24"/>
        </w:rPr>
        <w:t xml:space="preserve"> состоит в возможности использования разработанного комплекса упражнений в практике обучения английскому языку в начальной школе.</w:t>
      </w:r>
    </w:p>
    <w:p w:rsidR="00D836EE" w:rsidRP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1E3B01">
        <w:rPr>
          <w:rFonts w:ascii="Times New Roman" w:hAnsi="Times New Roman"/>
          <w:sz w:val="24"/>
          <w:szCs w:val="24"/>
        </w:rPr>
        <w:t xml:space="preserve">В ходе исследования был проведён анализ научно-методической и психолого-педагогической литературы, а также учебно-методических комплексов по английскому языку. Установлено, что формирование </w:t>
      </w:r>
      <w:r w:rsidR="001E3B01" w:rsidRPr="001E3B01">
        <w:rPr>
          <w:rFonts w:ascii="Times New Roman" w:hAnsi="Times New Roman"/>
          <w:sz w:val="24"/>
          <w:szCs w:val="24"/>
        </w:rPr>
        <w:t xml:space="preserve">иноязычной речевой компетенции </w:t>
      </w:r>
      <w:r w:rsidRPr="001E3B01">
        <w:rPr>
          <w:rFonts w:ascii="Times New Roman" w:hAnsi="Times New Roman"/>
          <w:sz w:val="24"/>
          <w:szCs w:val="24"/>
        </w:rPr>
        <w:t>представляет собой поэтапный процесс, включающий развитие фонетических, лексических и грамматических навыков с их последующей интеграцией в речевую деятельность. При этом ведущая роль принадлежит устной речи как основе коммуникативной компетенции.</w:t>
      </w:r>
    </w:p>
    <w:p w:rsidR="00D836EE" w:rsidRPr="005E28FA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5E28FA">
        <w:rPr>
          <w:rFonts w:ascii="Times New Roman" w:hAnsi="Times New Roman"/>
          <w:sz w:val="24"/>
          <w:szCs w:val="24"/>
        </w:rPr>
        <w:t xml:space="preserve">Изучение психолого-педагогических особенностей младших школьников </w:t>
      </w:r>
      <w:r w:rsidR="005E28FA" w:rsidRPr="005E28FA">
        <w:rPr>
          <w:rFonts w:ascii="Times New Roman" w:hAnsi="Times New Roman"/>
          <w:sz w:val="24"/>
          <w:szCs w:val="24"/>
        </w:rPr>
        <w:t>свидетельствует о том</w:t>
      </w:r>
      <w:r w:rsidRPr="005E28FA">
        <w:rPr>
          <w:rFonts w:ascii="Times New Roman" w:hAnsi="Times New Roman"/>
          <w:sz w:val="24"/>
          <w:szCs w:val="24"/>
        </w:rPr>
        <w:t xml:space="preserve">, что для них характерны высокая эмоциональность, потребность в игровой деятельности, преобладание наглядно-образного мышления и недостаточная </w:t>
      </w:r>
      <w:proofErr w:type="spellStart"/>
      <w:r w:rsidRPr="005E28F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E28FA">
        <w:rPr>
          <w:rFonts w:ascii="Times New Roman" w:hAnsi="Times New Roman"/>
          <w:sz w:val="24"/>
          <w:szCs w:val="24"/>
        </w:rPr>
        <w:t xml:space="preserve"> произвольного внимания. В связи с этим традиционные методы обучения оказываются недостаточно эффективными, поскольку не обеспечивают необходимого уровня </w:t>
      </w:r>
      <w:r w:rsidR="005E28FA" w:rsidRPr="005E28FA">
        <w:rPr>
          <w:rFonts w:ascii="Times New Roman" w:hAnsi="Times New Roman"/>
          <w:sz w:val="24"/>
          <w:szCs w:val="24"/>
        </w:rPr>
        <w:t>вовлеченности</w:t>
      </w:r>
      <w:r w:rsidRPr="005E28FA">
        <w:rPr>
          <w:rFonts w:ascii="Times New Roman" w:hAnsi="Times New Roman"/>
          <w:sz w:val="24"/>
          <w:szCs w:val="24"/>
        </w:rPr>
        <w:t xml:space="preserve"> учащихся.</w:t>
      </w:r>
    </w:p>
    <w:p w:rsidR="00D836EE" w:rsidRP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954608">
        <w:rPr>
          <w:rFonts w:ascii="Times New Roman" w:hAnsi="Times New Roman"/>
          <w:sz w:val="24"/>
          <w:szCs w:val="24"/>
        </w:rPr>
        <w:t xml:space="preserve">Анализ учебно-методических комплексов показал, что обучающие игры используются недостаточно системно, что подтверждает необходимость разработки методически обоснованного подхода к их применению. В результате обобщения теоретического материала было определено, что обучающая игра является эффективным средством формирования </w:t>
      </w:r>
      <w:r w:rsidR="00954608" w:rsidRPr="00954608">
        <w:rPr>
          <w:rFonts w:ascii="Times New Roman" w:hAnsi="Times New Roman"/>
          <w:sz w:val="24"/>
          <w:szCs w:val="24"/>
        </w:rPr>
        <w:t>иноязычной речевой компетенции</w:t>
      </w:r>
      <w:r w:rsidRPr="00954608">
        <w:rPr>
          <w:rFonts w:ascii="Times New Roman" w:hAnsi="Times New Roman"/>
          <w:sz w:val="24"/>
          <w:szCs w:val="24"/>
        </w:rPr>
        <w:t>, поскольку она активизирует речевую деятельность, снижает психологическое напряжение, обеспечивает многократное повторение языкового материала и повышает мотивацию учащихся.</w:t>
      </w:r>
    </w:p>
    <w:p w:rsidR="00D836EE" w:rsidRP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954608">
        <w:rPr>
          <w:rFonts w:ascii="Times New Roman" w:hAnsi="Times New Roman"/>
          <w:sz w:val="24"/>
          <w:szCs w:val="24"/>
        </w:rPr>
        <w:t xml:space="preserve">В практической части исследования был разработан </w:t>
      </w:r>
      <w:r w:rsidR="00954608">
        <w:rPr>
          <w:rFonts w:ascii="Times New Roman" w:hAnsi="Times New Roman"/>
          <w:sz w:val="24"/>
          <w:szCs w:val="24"/>
        </w:rPr>
        <w:t>комплекс упражнений</w:t>
      </w:r>
      <w:r w:rsidRPr="00954608">
        <w:rPr>
          <w:rFonts w:ascii="Times New Roman" w:hAnsi="Times New Roman"/>
          <w:sz w:val="24"/>
          <w:szCs w:val="24"/>
        </w:rPr>
        <w:t xml:space="preserve"> для учащихся 2</w:t>
      </w:r>
      <w:r w:rsidR="00954608">
        <w:rPr>
          <w:rFonts w:ascii="Times New Roman" w:hAnsi="Times New Roman"/>
          <w:sz w:val="24"/>
          <w:szCs w:val="24"/>
        </w:rPr>
        <w:t>-го</w:t>
      </w:r>
      <w:r w:rsidRPr="00954608">
        <w:rPr>
          <w:rFonts w:ascii="Times New Roman" w:hAnsi="Times New Roman"/>
          <w:sz w:val="24"/>
          <w:szCs w:val="24"/>
        </w:rPr>
        <w:t xml:space="preserve"> класса, направленный на формирование </w:t>
      </w:r>
      <w:r w:rsidR="00954608">
        <w:rPr>
          <w:rFonts w:ascii="Times New Roman" w:hAnsi="Times New Roman"/>
          <w:sz w:val="24"/>
          <w:szCs w:val="24"/>
        </w:rPr>
        <w:t xml:space="preserve">иноязычных </w:t>
      </w:r>
      <w:r w:rsidRPr="00954608">
        <w:rPr>
          <w:rFonts w:ascii="Times New Roman" w:hAnsi="Times New Roman"/>
          <w:sz w:val="24"/>
          <w:szCs w:val="24"/>
        </w:rPr>
        <w:t xml:space="preserve">речевых навыков </w:t>
      </w:r>
      <w:r w:rsidR="00954608">
        <w:rPr>
          <w:rFonts w:ascii="Times New Roman" w:hAnsi="Times New Roman"/>
          <w:sz w:val="24"/>
          <w:szCs w:val="24"/>
        </w:rPr>
        <w:t>с использованием обучающих игр, включающий</w:t>
      </w:r>
      <w:r w:rsidRPr="00954608">
        <w:rPr>
          <w:rFonts w:ascii="Times New Roman" w:hAnsi="Times New Roman"/>
          <w:sz w:val="24"/>
          <w:szCs w:val="24"/>
        </w:rPr>
        <w:t xml:space="preserve"> 10 упражнений игрового характера: ролевые игры, направленные на развитие диалогической речи; лексические игры для закрепления словарного запаса; коммуникативные игры, формирующие навыки говорения; а также игры на </w:t>
      </w:r>
      <w:proofErr w:type="spellStart"/>
      <w:r w:rsidRPr="00954608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54608">
        <w:rPr>
          <w:rFonts w:ascii="Times New Roman" w:hAnsi="Times New Roman"/>
          <w:sz w:val="24"/>
          <w:szCs w:val="24"/>
        </w:rPr>
        <w:t>.</w:t>
      </w:r>
    </w:p>
    <w:p w:rsidR="00D836EE" w:rsidRPr="00B469FB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B469FB">
        <w:rPr>
          <w:rFonts w:ascii="Times New Roman" w:hAnsi="Times New Roman"/>
          <w:sz w:val="24"/>
          <w:szCs w:val="24"/>
        </w:rPr>
        <w:t xml:space="preserve">Результаты апробации показали, что использование обучающих игр способствует активному вовлечению учащихся в учебный процесс, увеличению объёма речевой практики и повышению уровня </w:t>
      </w:r>
      <w:proofErr w:type="spellStart"/>
      <w:r w:rsidRPr="00B469F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469FB">
        <w:rPr>
          <w:rFonts w:ascii="Times New Roman" w:hAnsi="Times New Roman"/>
          <w:sz w:val="24"/>
          <w:szCs w:val="24"/>
        </w:rPr>
        <w:t xml:space="preserve"> иноязычных речевых навыков.</w:t>
      </w:r>
    </w:p>
    <w:p w:rsidR="00D836EE" w:rsidRPr="00C6406E" w:rsidRDefault="00336E48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B469FB">
        <w:rPr>
          <w:rFonts w:ascii="Times New Roman" w:hAnsi="Times New Roman"/>
          <w:sz w:val="24"/>
          <w:szCs w:val="24"/>
        </w:rPr>
        <w:t xml:space="preserve">Таким образом, можно сделать вывод о том, что систематическое и методически обоснованное использование обучающих игр на уроках английского языка в начальной школе является эффективным средством формирования </w:t>
      </w:r>
      <w:r w:rsidR="00B469FB" w:rsidRPr="00B469FB">
        <w:rPr>
          <w:rFonts w:ascii="Times New Roman" w:hAnsi="Times New Roman"/>
          <w:sz w:val="24"/>
          <w:szCs w:val="24"/>
        </w:rPr>
        <w:t xml:space="preserve">иноязычной речевой компетенции </w:t>
      </w:r>
      <w:r w:rsidRPr="00B469FB">
        <w:rPr>
          <w:rFonts w:ascii="Times New Roman" w:hAnsi="Times New Roman"/>
          <w:sz w:val="24"/>
          <w:szCs w:val="24"/>
        </w:rPr>
        <w:t>и способствует повышению качества обучения.</w:t>
      </w:r>
    </w:p>
    <w:p w:rsidR="00D836EE" w:rsidRPr="00C6406E" w:rsidRDefault="00D836E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F46BF" w:rsidRDefault="00DF46BF" w:rsidP="00B469FB">
      <w:pPr>
        <w:pStyle w:val="a5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36EE" w:rsidRPr="00B469FB" w:rsidRDefault="00336E48" w:rsidP="00B469FB">
      <w:pPr>
        <w:pStyle w:val="a5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469FB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D836EE" w:rsidRPr="00B469FB" w:rsidRDefault="00336E48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469FB">
        <w:rPr>
          <w:rFonts w:ascii="Times New Roman" w:hAnsi="Times New Roman"/>
          <w:sz w:val="24"/>
          <w:szCs w:val="24"/>
        </w:rPr>
        <w:t>1. Гальскова Н. Д., Гез Н. И. Теория обучения иностранным языкам. Лингводидактика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69FB">
        <w:rPr>
          <w:rFonts w:ascii="Times New Roman" w:hAnsi="Times New Roman"/>
          <w:sz w:val="24"/>
          <w:szCs w:val="24"/>
        </w:rPr>
        <w:t>и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69FB">
        <w:rPr>
          <w:rFonts w:ascii="Times New Roman" w:hAnsi="Times New Roman"/>
          <w:sz w:val="24"/>
          <w:szCs w:val="24"/>
        </w:rPr>
        <w:t>методика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>–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69FB">
        <w:rPr>
          <w:rFonts w:ascii="Times New Roman" w:hAnsi="Times New Roman"/>
          <w:sz w:val="24"/>
          <w:szCs w:val="24"/>
        </w:rPr>
        <w:t>М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B469FB">
        <w:rPr>
          <w:rFonts w:ascii="Times New Roman" w:hAnsi="Times New Roman"/>
          <w:sz w:val="24"/>
          <w:szCs w:val="24"/>
        </w:rPr>
        <w:t>Академия</w:t>
      </w:r>
      <w:r w:rsidRPr="00B469FB">
        <w:rPr>
          <w:rFonts w:ascii="Times New Roman" w:hAnsi="Times New Roman"/>
          <w:sz w:val="24"/>
          <w:szCs w:val="24"/>
          <w:lang w:val="en-US"/>
        </w:rPr>
        <w:t>, 2020.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 xml:space="preserve"> – 363 </w:t>
      </w:r>
      <w:r w:rsidR="00B469FB">
        <w:rPr>
          <w:rFonts w:ascii="Times New Roman" w:hAnsi="Times New Roman"/>
          <w:sz w:val="24"/>
          <w:szCs w:val="24"/>
        </w:rPr>
        <w:t>с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>.</w:t>
      </w:r>
    </w:p>
    <w:p w:rsidR="00D836EE" w:rsidRPr="00B469FB" w:rsidRDefault="00336E48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469FB">
        <w:rPr>
          <w:rFonts w:ascii="Times New Roman" w:hAnsi="Times New Roman"/>
          <w:sz w:val="24"/>
          <w:szCs w:val="24"/>
          <w:lang w:val="en-US"/>
        </w:rPr>
        <w:t xml:space="preserve">2. Wright A., </w:t>
      </w:r>
      <w:proofErr w:type="spellStart"/>
      <w:r w:rsidRPr="00B469FB">
        <w:rPr>
          <w:rFonts w:ascii="Times New Roman" w:hAnsi="Times New Roman"/>
          <w:sz w:val="24"/>
          <w:szCs w:val="24"/>
          <w:lang w:val="en-US"/>
        </w:rPr>
        <w:t>Betteridge</w:t>
      </w:r>
      <w:proofErr w:type="spellEnd"/>
      <w:r w:rsidRPr="00B469FB">
        <w:rPr>
          <w:rFonts w:ascii="Times New Roman" w:hAnsi="Times New Roman"/>
          <w:sz w:val="24"/>
          <w:szCs w:val="24"/>
          <w:lang w:val="en-US"/>
        </w:rPr>
        <w:t xml:space="preserve"> D., </w:t>
      </w:r>
      <w:proofErr w:type="spellStart"/>
      <w:r w:rsidRPr="00B469FB">
        <w:rPr>
          <w:rFonts w:ascii="Times New Roman" w:hAnsi="Times New Roman"/>
          <w:sz w:val="24"/>
          <w:szCs w:val="24"/>
          <w:lang w:val="en-US"/>
        </w:rPr>
        <w:t>Buckby</w:t>
      </w:r>
      <w:proofErr w:type="spellEnd"/>
      <w:r w:rsidRPr="00B469FB">
        <w:rPr>
          <w:rFonts w:ascii="Times New Roman" w:hAnsi="Times New Roman"/>
          <w:sz w:val="24"/>
          <w:szCs w:val="24"/>
          <w:lang w:val="en-US"/>
        </w:rPr>
        <w:t xml:space="preserve"> M. Games for Language Learning 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>–</w:t>
      </w:r>
      <w:r w:rsidRPr="00B469FB">
        <w:rPr>
          <w:rFonts w:ascii="Times New Roman" w:hAnsi="Times New Roman"/>
          <w:sz w:val="24"/>
          <w:szCs w:val="24"/>
          <w:lang w:val="en-US"/>
        </w:rPr>
        <w:t xml:space="preserve"> Cambridge: Cambridge University Press, 2021.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 xml:space="preserve"> – 212 </w:t>
      </w:r>
      <w:r w:rsidR="00B469FB">
        <w:rPr>
          <w:rFonts w:ascii="Times New Roman" w:hAnsi="Times New Roman"/>
          <w:sz w:val="24"/>
          <w:szCs w:val="24"/>
          <w:lang w:val="en-US"/>
        </w:rPr>
        <w:t>p</w:t>
      </w:r>
      <w:r w:rsidR="00B469FB" w:rsidRPr="00B469FB">
        <w:rPr>
          <w:rFonts w:ascii="Times New Roman" w:hAnsi="Times New Roman"/>
          <w:sz w:val="24"/>
          <w:szCs w:val="24"/>
          <w:lang w:val="en-US"/>
        </w:rPr>
        <w:t>.</w:t>
      </w:r>
    </w:p>
    <w:p w:rsidR="00D836EE" w:rsidRPr="000863BA" w:rsidRDefault="00D836E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836EE" w:rsidRPr="000863BA" w:rsidRDefault="00D836EE">
      <w:pPr>
        <w:pStyle w:val="a5"/>
        <w:spacing w:line="240" w:lineRule="auto"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836EE" w:rsidRPr="000863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E7" w:rsidRDefault="004C34E7">
      <w:pPr>
        <w:spacing w:line="240" w:lineRule="auto"/>
      </w:pPr>
      <w:r>
        <w:separator/>
      </w:r>
    </w:p>
  </w:endnote>
  <w:endnote w:type="continuationSeparator" w:id="0">
    <w:p w:rsidR="004C34E7" w:rsidRDefault="004C3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AutoText"/>
      </w:docPartObj>
    </w:sdtPr>
    <w:sdtEndPr/>
    <w:sdtContent>
      <w:p w:rsidR="00D836EE" w:rsidRDefault="00336E4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6BF">
          <w:rPr>
            <w:noProof/>
          </w:rPr>
          <w:t>2</w:t>
        </w:r>
        <w:r>
          <w:fldChar w:fldCharType="end"/>
        </w:r>
      </w:p>
    </w:sdtContent>
  </w:sdt>
  <w:p w:rsidR="00D836EE" w:rsidRDefault="00D836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E7" w:rsidRDefault="004C34E7">
      <w:pPr>
        <w:spacing w:after="0"/>
      </w:pPr>
      <w:r>
        <w:separator/>
      </w:r>
    </w:p>
  </w:footnote>
  <w:footnote w:type="continuationSeparator" w:id="0">
    <w:p w:rsidR="004C34E7" w:rsidRDefault="004C34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863BA"/>
    <w:rsid w:val="001D09F9"/>
    <w:rsid w:val="001E3B01"/>
    <w:rsid w:val="00211D12"/>
    <w:rsid w:val="00263AA6"/>
    <w:rsid w:val="002B5B60"/>
    <w:rsid w:val="0031269A"/>
    <w:rsid w:val="00336E48"/>
    <w:rsid w:val="003C63D4"/>
    <w:rsid w:val="00442303"/>
    <w:rsid w:val="004C34E7"/>
    <w:rsid w:val="00577329"/>
    <w:rsid w:val="00585FCD"/>
    <w:rsid w:val="005956CA"/>
    <w:rsid w:val="0059711F"/>
    <w:rsid w:val="005C7355"/>
    <w:rsid w:val="005E28FA"/>
    <w:rsid w:val="0061172F"/>
    <w:rsid w:val="00614F41"/>
    <w:rsid w:val="0066082C"/>
    <w:rsid w:val="00684513"/>
    <w:rsid w:val="0069594E"/>
    <w:rsid w:val="007B5979"/>
    <w:rsid w:val="007E79F9"/>
    <w:rsid w:val="008514BD"/>
    <w:rsid w:val="00856576"/>
    <w:rsid w:val="00876485"/>
    <w:rsid w:val="008A7C53"/>
    <w:rsid w:val="008F48D7"/>
    <w:rsid w:val="00954608"/>
    <w:rsid w:val="00AB0649"/>
    <w:rsid w:val="00AE3918"/>
    <w:rsid w:val="00B469FB"/>
    <w:rsid w:val="00B613DA"/>
    <w:rsid w:val="00B93060"/>
    <w:rsid w:val="00BA5C84"/>
    <w:rsid w:val="00C50BF9"/>
    <w:rsid w:val="00C6406E"/>
    <w:rsid w:val="00CC136C"/>
    <w:rsid w:val="00D05C50"/>
    <w:rsid w:val="00D079AC"/>
    <w:rsid w:val="00D27B36"/>
    <w:rsid w:val="00D43413"/>
    <w:rsid w:val="00D539C5"/>
    <w:rsid w:val="00D836EE"/>
    <w:rsid w:val="00DB7148"/>
    <w:rsid w:val="00DF46BF"/>
    <w:rsid w:val="00E10881"/>
    <w:rsid w:val="00E62F46"/>
    <w:rsid w:val="00E94520"/>
    <w:rsid w:val="00F64DEC"/>
    <w:rsid w:val="00F826BA"/>
    <w:rsid w:val="00FA1A7A"/>
    <w:rsid w:val="00FC280B"/>
    <w:rsid w:val="00FD5A80"/>
    <w:rsid w:val="00FF6C5A"/>
    <w:rsid w:val="355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7A013-1DEC-415D-8874-35F3C662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2026-04-06T20:33:00Z</dcterms:created>
  <dcterms:modified xsi:type="dcterms:W3CDTF">2026-04-06T20:34:00Z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E3AA52B6ABFD4E499B3813D024AED657_13</vt:lpwstr>
  </property>
</Properties>
</file>