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3C39C" w14:textId="77777777" w:rsidR="0054727E" w:rsidRPr="00CB5127" w:rsidRDefault="0054727E" w:rsidP="007C309F">
      <w:pPr>
        <w:spacing w:after="0" w:line="360" w:lineRule="auto"/>
        <w:ind w:firstLine="709"/>
        <w:jc w:val="right"/>
        <w:rPr>
          <w:rFonts w:cs="Times New Roman"/>
          <w:bCs/>
          <w:iCs/>
        </w:rPr>
      </w:pPr>
      <w:r w:rsidRPr="00CB5127">
        <w:rPr>
          <w:rFonts w:cs="Times New Roman"/>
          <w:bCs/>
          <w:iCs/>
        </w:rPr>
        <w:t>Н.Р. Ярославцева</w:t>
      </w:r>
    </w:p>
    <w:p w14:paraId="4C2145B4" w14:textId="702D9F90" w:rsidR="00C5439A" w:rsidRDefault="00C5439A" w:rsidP="007C309F">
      <w:pPr>
        <w:spacing w:after="0"/>
        <w:rPr>
          <w:rFonts w:cs="Times New Roman"/>
          <w:szCs w:val="28"/>
        </w:rPr>
      </w:pPr>
    </w:p>
    <w:p w14:paraId="214F42E9" w14:textId="1738D609" w:rsidR="0054727E" w:rsidRDefault="004D6E1E" w:rsidP="007C309F">
      <w:pPr>
        <w:spacing w:after="0"/>
        <w:jc w:val="center"/>
        <w:rPr>
          <w:rFonts w:cs="Times New Roman"/>
          <w:sz w:val="32"/>
          <w:szCs w:val="32"/>
        </w:rPr>
      </w:pPr>
      <w:r w:rsidRPr="004D6E1E">
        <w:rPr>
          <w:rFonts w:cs="Times New Roman"/>
          <w:sz w:val="32"/>
          <w:szCs w:val="32"/>
        </w:rPr>
        <w:t>Правовой статус молодого специалиста в Р</w:t>
      </w:r>
      <w:r w:rsidR="008D5ED6">
        <w:rPr>
          <w:rFonts w:cs="Times New Roman"/>
          <w:sz w:val="32"/>
          <w:szCs w:val="32"/>
        </w:rPr>
        <w:t>Ф</w:t>
      </w:r>
      <w:r w:rsidRPr="004D6E1E">
        <w:rPr>
          <w:rFonts w:cs="Times New Roman"/>
          <w:sz w:val="32"/>
          <w:szCs w:val="32"/>
        </w:rPr>
        <w:t>.</w:t>
      </w:r>
    </w:p>
    <w:p w14:paraId="3D7145A5" w14:textId="77777777" w:rsidR="0054727E" w:rsidRDefault="0054727E" w:rsidP="007C309F">
      <w:pPr>
        <w:spacing w:after="0"/>
        <w:jc w:val="center"/>
        <w:rPr>
          <w:rFonts w:cs="Times New Roman"/>
          <w:sz w:val="32"/>
          <w:szCs w:val="32"/>
        </w:rPr>
      </w:pPr>
    </w:p>
    <w:p w14:paraId="3715631F" w14:textId="101C341B" w:rsidR="0054727E" w:rsidRDefault="0054727E" w:rsidP="007C309F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F43411">
        <w:rPr>
          <w:rFonts w:cs="Times New Roman"/>
          <w:i/>
          <w:iCs/>
          <w:szCs w:val="28"/>
        </w:rPr>
        <w:t>Аннотация:</w:t>
      </w:r>
      <w:r>
        <w:rPr>
          <w:rFonts w:cs="Times New Roman"/>
          <w:szCs w:val="28"/>
        </w:rPr>
        <w:t xml:space="preserve"> </w:t>
      </w:r>
      <w:r w:rsidR="004317B5">
        <w:rPr>
          <w:rFonts w:cs="Times New Roman"/>
          <w:szCs w:val="28"/>
        </w:rPr>
        <w:t xml:space="preserve">В статье рассматривается правовой статус молодого специалиста в российском законодательстве. На </w:t>
      </w:r>
      <w:r w:rsidR="00EE154B">
        <w:rPr>
          <w:rFonts w:cs="Times New Roman"/>
          <w:szCs w:val="28"/>
        </w:rPr>
        <w:t>основании Трудового кодекса Российской Федерации и Федерального закона «О молодёжной политике» выделяются ключевые критерии отнесения граждан к данной категории.</w:t>
      </w:r>
    </w:p>
    <w:p w14:paraId="60A48336" w14:textId="580A640E" w:rsidR="001917DD" w:rsidRDefault="0054727E" w:rsidP="001917DD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F43411">
        <w:rPr>
          <w:rFonts w:cs="Times New Roman"/>
          <w:i/>
          <w:iCs/>
          <w:szCs w:val="28"/>
        </w:rPr>
        <w:t>Ключевые слова:</w:t>
      </w:r>
      <w:r>
        <w:rPr>
          <w:rFonts w:cs="Times New Roman"/>
          <w:szCs w:val="28"/>
        </w:rPr>
        <w:t xml:space="preserve"> </w:t>
      </w:r>
      <w:r w:rsidR="004317B5">
        <w:rPr>
          <w:rFonts w:cs="Times New Roman"/>
          <w:szCs w:val="28"/>
        </w:rPr>
        <w:t>правовой статус, молодой специалист, трудовое право.</w:t>
      </w:r>
    </w:p>
    <w:p w14:paraId="3AAC534F" w14:textId="3C7B8CAB" w:rsidR="008A4022" w:rsidRDefault="008A4022" w:rsidP="00526DF6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Статус «молодой специалист»</w:t>
      </w:r>
      <w:r w:rsidR="0063248A">
        <w:rPr>
          <w:rFonts w:cs="Times New Roman"/>
          <w:szCs w:val="28"/>
        </w:rPr>
        <w:t xml:space="preserve"> в отечественном законодательстве состоит из трёх обязательных критери</w:t>
      </w:r>
      <w:r w:rsidR="0009510A">
        <w:rPr>
          <w:rFonts w:cs="Times New Roman"/>
          <w:szCs w:val="28"/>
        </w:rPr>
        <w:t>я</w:t>
      </w:r>
      <w:r w:rsidR="0063248A">
        <w:rPr>
          <w:rFonts w:cs="Times New Roman"/>
          <w:szCs w:val="28"/>
        </w:rPr>
        <w:t>:</w:t>
      </w:r>
      <w:r w:rsidR="0009510A">
        <w:rPr>
          <w:rFonts w:cs="Times New Roman"/>
          <w:szCs w:val="28"/>
        </w:rPr>
        <w:t xml:space="preserve"> наличие документа о профессиональном образовании, характер первого трудоустройства и возрастной ценз. Указанные критерии в совокупности закреплены в статье 2 Федерального закона от 30.12.2020 №489-ФЗ «О молодёжной политике», согласно которой к этой категории относится гражданин Российской Федерации, не достигший 35 лет включительно, успешно завершивший обучение по основным программам профессионального обучения и впервые приступающий к трудовой деятельности по полученной квалификации </w:t>
      </w:r>
      <w:r w:rsidR="0009510A" w:rsidRPr="0009510A">
        <w:rPr>
          <w:rFonts w:cs="Times New Roman"/>
          <w:szCs w:val="28"/>
        </w:rPr>
        <w:t>[</w:t>
      </w:r>
      <w:r w:rsidR="0009510A">
        <w:rPr>
          <w:rFonts w:cs="Times New Roman"/>
          <w:szCs w:val="28"/>
        </w:rPr>
        <w:t>2</w:t>
      </w:r>
      <w:r w:rsidR="0009510A" w:rsidRPr="0009510A">
        <w:rPr>
          <w:rFonts w:cs="Times New Roman"/>
          <w:szCs w:val="28"/>
        </w:rPr>
        <w:t>]</w:t>
      </w:r>
      <w:r w:rsidR="0009510A">
        <w:rPr>
          <w:rFonts w:cs="Times New Roman"/>
          <w:szCs w:val="28"/>
        </w:rPr>
        <w:t xml:space="preserve">. Исходя из этого, нормативное определение рассматриваемой группы представляет собой </w:t>
      </w:r>
      <w:r w:rsidR="00526DF6">
        <w:rPr>
          <w:rFonts w:cs="Times New Roman"/>
          <w:szCs w:val="28"/>
        </w:rPr>
        <w:t xml:space="preserve">систему взаимосвязанных условий, каждое из которых является необходимым для признания лица молодым специалистом. </w:t>
      </w:r>
    </w:p>
    <w:p w14:paraId="2A599B75" w14:textId="4F48E5FF" w:rsidR="001917DD" w:rsidRPr="001917DD" w:rsidRDefault="001917DD" w:rsidP="001917DD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1917DD">
        <w:rPr>
          <w:rFonts w:cs="Times New Roman"/>
          <w:szCs w:val="28"/>
        </w:rPr>
        <w:t>Анализ указанной нормы позволяет выделить ключевые критерии, предъявляемые к молодому специалисту. В первую очередь это возрастное ограничение, установленное на уровне 35 лет</w:t>
      </w:r>
      <w:r w:rsidR="004B6C9B" w:rsidRPr="004B6C9B">
        <w:rPr>
          <w:rFonts w:cs="Times New Roman"/>
          <w:szCs w:val="28"/>
        </w:rPr>
        <w:t>.</w:t>
      </w:r>
      <w:r w:rsidRPr="001917DD">
        <w:rPr>
          <w:rFonts w:cs="Times New Roman"/>
          <w:szCs w:val="28"/>
        </w:rPr>
        <w:t xml:space="preserve"> Кроме того, обязательным требованием выступает наличие подтвержденного дипломом профессионального образования, а также факт первичного выхода на работу именно по специальности, полученной в ходе обучения, что исключает из данной категории лиц, имеющих предшествующий опыт трудовой деятельности в соответствующей сфере. Федеральным законом от 28 декабря 2024 года № 550-ФЗ в указанное определение внесено уточнение: к категории молодых специалистов также относятся лица, имеющие трудовой стаж, полученный в </w:t>
      </w:r>
      <w:r w:rsidRPr="001917DD">
        <w:rPr>
          <w:rFonts w:cs="Times New Roman"/>
          <w:szCs w:val="28"/>
        </w:rPr>
        <w:lastRenderedPageBreak/>
        <w:t>период обучения по основным профессиональным образовательным программам</w:t>
      </w:r>
      <w:r w:rsidR="00497E5F" w:rsidRPr="00497E5F">
        <w:rPr>
          <w:rFonts w:cs="Times New Roman"/>
          <w:szCs w:val="28"/>
        </w:rPr>
        <w:t xml:space="preserve"> [3]</w:t>
      </w:r>
      <w:r w:rsidRPr="001917DD">
        <w:rPr>
          <w:rFonts w:cs="Times New Roman"/>
          <w:szCs w:val="28"/>
        </w:rPr>
        <w:t>.</w:t>
      </w:r>
    </w:p>
    <w:p w14:paraId="489826E9" w14:textId="0EB6107D" w:rsidR="00526DF6" w:rsidRDefault="00526DF6" w:rsidP="001917DD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отличие от других отраслей законодательства, трудовое право не использует легальное понятие «молодой специалист». Восполнение </w:t>
      </w:r>
      <w:r w:rsidR="00FB5C5C">
        <w:rPr>
          <w:rFonts w:cs="Times New Roman"/>
          <w:szCs w:val="28"/>
        </w:rPr>
        <w:t xml:space="preserve">этого пробела осуществляется через механизм статьи 70 Трудового Кодекса Российской Федерации, регламентирующей особенности приёма на работу отдельных категорий лиц. </w:t>
      </w:r>
      <w:r w:rsidR="00660DB1">
        <w:rPr>
          <w:rFonts w:cs="Times New Roman"/>
          <w:szCs w:val="28"/>
        </w:rPr>
        <w:t xml:space="preserve">На основании положений указанной статьи, статус, сопоставимый с рассматриваемым, приобретает гражданин, получивший аккредитованное профессиональное образование (высшее или среднее) и впервые трудоустроившийся по специальности в срок до одного года после окончания обучения </w:t>
      </w:r>
      <w:r w:rsidR="00660DB1" w:rsidRPr="00660DB1">
        <w:rPr>
          <w:rFonts w:cs="Times New Roman"/>
          <w:szCs w:val="28"/>
        </w:rPr>
        <w:t>[</w:t>
      </w:r>
      <w:r w:rsidR="00660DB1">
        <w:rPr>
          <w:rFonts w:cs="Times New Roman"/>
          <w:szCs w:val="28"/>
        </w:rPr>
        <w:t>1</w:t>
      </w:r>
      <w:r w:rsidR="00660DB1" w:rsidRPr="00660DB1">
        <w:rPr>
          <w:rFonts w:cs="Times New Roman"/>
          <w:szCs w:val="28"/>
        </w:rPr>
        <w:t>]</w:t>
      </w:r>
      <w:r w:rsidR="00660DB1">
        <w:rPr>
          <w:rFonts w:cs="Times New Roman"/>
          <w:szCs w:val="28"/>
        </w:rPr>
        <w:t>. Из приведённой нормы следует выделить два основных признака, а именно наличие документа об обучении по программе, прошедшей государственную аккредитацию и соблюдение годичного интервала между завершением образования и началом трудовой деятельности по профилю.</w:t>
      </w:r>
    </w:p>
    <w:p w14:paraId="79A34088" w14:textId="319F54C6" w:rsidR="00DC7192" w:rsidRDefault="00DC7192" w:rsidP="001917DD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C7192">
        <w:rPr>
          <w:rFonts w:cs="Times New Roman"/>
          <w:szCs w:val="28"/>
        </w:rPr>
        <w:t>Обозначенное исключение заметно дифференцирует режим приёма на работу обозначенной категории, по сравнению с общим порядком, закреплённым в той же статье Трудового кодекса.</w:t>
      </w:r>
      <w:r>
        <w:rPr>
          <w:rFonts w:cs="Times New Roman"/>
          <w:szCs w:val="28"/>
        </w:rPr>
        <w:t xml:space="preserve"> Если для основной массы работников предельная длительность испытания ограничивается тремя месяцами, а для руководителей, главных бухгалтеров и их заместителей -шестью, то для молодых специалистов не применяется вовсе. </w:t>
      </w:r>
    </w:p>
    <w:p w14:paraId="7BB66B9F" w14:textId="6D2301D8" w:rsidR="0071225A" w:rsidRDefault="0071225A" w:rsidP="001917DD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Правовое регулирование дополнительных мер поддержки лиц, приписанных к категории молодых специалистов</w:t>
      </w:r>
      <w:r w:rsidR="00A8588C">
        <w:rPr>
          <w:rFonts w:cs="Times New Roman"/>
          <w:szCs w:val="28"/>
        </w:rPr>
        <w:t>, реализуется путём закрепления соответствующих положений в локальных актах организаций, коллективных договорах и в индивидуальных соглашениях сторон трудового правоотношения. Сложилось разделение таких мер на две группы: универсальные, основанные на императивных предписаниях трудового законодательства</w:t>
      </w:r>
      <w:r w:rsidR="003D5E6C">
        <w:rPr>
          <w:rFonts w:cs="Times New Roman"/>
          <w:szCs w:val="28"/>
        </w:rPr>
        <w:t xml:space="preserve"> и факультативные, варьирующиеся в зависимости от специфики профессиональной деятельности</w:t>
      </w:r>
      <w:r w:rsidR="003D5E6C" w:rsidRPr="003D5E6C">
        <w:rPr>
          <w:rFonts w:cs="Times New Roman"/>
          <w:szCs w:val="28"/>
        </w:rPr>
        <w:t xml:space="preserve"> [</w:t>
      </w:r>
      <w:r w:rsidR="004317B5">
        <w:rPr>
          <w:rFonts w:cs="Times New Roman"/>
          <w:szCs w:val="28"/>
        </w:rPr>
        <w:t>4</w:t>
      </w:r>
      <w:r w:rsidR="003D5E6C" w:rsidRPr="003D5E6C">
        <w:rPr>
          <w:rFonts w:cs="Times New Roman"/>
          <w:szCs w:val="28"/>
        </w:rPr>
        <w:t>]</w:t>
      </w:r>
      <w:r w:rsidR="003D5E6C">
        <w:rPr>
          <w:rFonts w:cs="Times New Roman"/>
          <w:szCs w:val="28"/>
        </w:rPr>
        <w:t>.</w:t>
      </w:r>
    </w:p>
    <w:p w14:paraId="09352784" w14:textId="3019D069" w:rsidR="003D5E6C" w:rsidRDefault="003D5E6C" w:rsidP="0071225A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Универсальные гарантии адресованы всем наёмным работникам, вне зависимости от наличия у них особого статуса и регулируются нормами </w:t>
      </w:r>
      <w:r>
        <w:rPr>
          <w:rFonts w:cs="Times New Roman"/>
          <w:szCs w:val="28"/>
        </w:rPr>
        <w:lastRenderedPageBreak/>
        <w:t>Трудового кодекса Российской Федерации. К ним относятся обеспечение сохранности и средней заработной платы, а также компенсация издержек, возникающих из-за направления работника в служебные командировки (ст. 167 ТК РФ). Сходный принцип возмещения затрат действует и в ситуации переезда сотрудника для выполнения работы в другую местность (ст. 169 ТК РФ).</w:t>
      </w:r>
    </w:p>
    <w:p w14:paraId="72EC21DF" w14:textId="26556F82" w:rsidR="004317B5" w:rsidRPr="004317B5" w:rsidRDefault="003D5E6C" w:rsidP="004317B5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Факультативный блок </w:t>
      </w:r>
      <w:r w:rsidR="00443275">
        <w:rPr>
          <w:rFonts w:cs="Times New Roman"/>
          <w:szCs w:val="28"/>
        </w:rPr>
        <w:t xml:space="preserve">гарантий включает в себя </w:t>
      </w:r>
      <w:r w:rsidR="004317B5" w:rsidRPr="004317B5">
        <w:rPr>
          <w:rFonts w:cs="Times New Roman"/>
          <w:szCs w:val="28"/>
        </w:rPr>
        <w:t>освобождение от прохождения аттестации на протяжении всего срока действия этого статуса, как правило исчисляемым двумя годами с момента начала трудовой деятельности. Кроме того, к числу установленных гарантий относится закрепление за начинающим работником наставника из штата опытных сотрудников и обеспечение условий для досуговой занятости как самого молодого специалиста, так и членов его семьи. Также представители указанной категории наделяются правом на участие в профессиональных конкурсах с денежным поощрением, в том числе Национальной премии «Лучший специалист года» [5].</w:t>
      </w:r>
    </w:p>
    <w:p w14:paraId="330C019D" w14:textId="4CD29A98" w:rsidR="004317B5" w:rsidRDefault="004317B5" w:rsidP="004317B5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4317B5">
        <w:rPr>
          <w:rFonts w:cs="Times New Roman"/>
          <w:szCs w:val="28"/>
        </w:rPr>
        <w:t>Зафиксированные в отношении молодых специалистов меры поддержки нацелены на выравнивание стартовых возможностей по сравнению с более опытными коллегами, содействие их профессиональному становлению и на обеспечение правовых гарантий и охраняемых законом интересов этой социальной группы. Одним из главных направлений совершенствования нормативно-правового регулирования становится установление квоты на трудоустройство молодых специалистов, что будет способствовать их более активному вовлечению в трудовую деятельность и сокращению адаптационного периода после образования.</w:t>
      </w:r>
    </w:p>
    <w:p w14:paraId="305DC136" w14:textId="67117C2C" w:rsidR="00EE154B" w:rsidRDefault="00EE154B" w:rsidP="004317B5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Главная особенность правового статуса данной группы заключается в предоставлении повышенного уровня гарантий. Среди них, как говорилось выше, выделяют возможность закрепления дополнительных мер поддержки в коллективных договорах, локальных актах и отраслевых соглашениях, а также запрет на установление испытательного срока при заключении трудового договора. Эти инструменты направлены на сокращение адаптационного </w:t>
      </w:r>
      <w:r>
        <w:rPr>
          <w:rFonts w:cs="Times New Roman"/>
          <w:szCs w:val="28"/>
        </w:rPr>
        <w:lastRenderedPageBreak/>
        <w:t xml:space="preserve">периода, </w:t>
      </w:r>
      <w:r w:rsidR="006B6E31">
        <w:rPr>
          <w:rFonts w:cs="Times New Roman"/>
          <w:szCs w:val="28"/>
        </w:rPr>
        <w:t xml:space="preserve">обеспечение конкурентных условий и </w:t>
      </w:r>
      <w:r>
        <w:rPr>
          <w:rFonts w:cs="Times New Roman"/>
          <w:szCs w:val="28"/>
        </w:rPr>
        <w:t xml:space="preserve">облегчение </w:t>
      </w:r>
      <w:r w:rsidR="006B6E31">
        <w:rPr>
          <w:rFonts w:cs="Times New Roman"/>
          <w:szCs w:val="28"/>
        </w:rPr>
        <w:t xml:space="preserve">перехода выпускников к началу профессиональной деятельности. </w:t>
      </w:r>
    </w:p>
    <w:p w14:paraId="17C876CC" w14:textId="428C2169" w:rsidR="00EE1525" w:rsidRPr="00EE1525" w:rsidRDefault="00EE1525" w:rsidP="00EE1525">
      <w:pPr>
        <w:spacing w:after="0" w:line="360" w:lineRule="auto"/>
        <w:ind w:firstLine="709"/>
        <w:jc w:val="center"/>
        <w:rPr>
          <w:rFonts w:cs="Times New Roman"/>
          <w:szCs w:val="28"/>
        </w:rPr>
      </w:pPr>
      <w:r w:rsidRPr="00EE1525">
        <w:rPr>
          <w:rFonts w:cs="Times New Roman"/>
          <w:szCs w:val="28"/>
        </w:rPr>
        <w:t>С</w:t>
      </w:r>
      <w:r w:rsidR="00CB5127">
        <w:rPr>
          <w:rFonts w:cs="Times New Roman"/>
          <w:szCs w:val="28"/>
        </w:rPr>
        <w:t>ПИСОК ЦИТИРУЕМОЙ ЛИТЕРАТУРЫ</w:t>
      </w:r>
      <w:r>
        <w:rPr>
          <w:rFonts w:cs="Times New Roman"/>
          <w:szCs w:val="28"/>
        </w:rPr>
        <w:t>:</w:t>
      </w:r>
    </w:p>
    <w:p w14:paraId="3B63BE94" w14:textId="77777777" w:rsidR="003B69E1" w:rsidRDefault="00EE1525" w:rsidP="003B69E1">
      <w:pPr>
        <w:pStyle w:val="a3"/>
        <w:numPr>
          <w:ilvl w:val="0"/>
          <w:numId w:val="2"/>
        </w:numPr>
        <w:spacing w:after="0" w:line="360" w:lineRule="auto"/>
        <w:jc w:val="both"/>
        <w:rPr>
          <w:rFonts w:cs="Times New Roman"/>
          <w:szCs w:val="28"/>
        </w:rPr>
      </w:pPr>
      <w:r w:rsidRPr="003B69E1">
        <w:rPr>
          <w:rFonts w:cs="Times New Roman"/>
          <w:szCs w:val="28"/>
        </w:rPr>
        <w:t>Трудовой кодекс Российской Федерации от 30.12.2001 № 197-ФЗ (ред. от 28.12.2024) // Собрание законодательства РФ. – 2002. – № 1 (ч. 1). – Ст. 3.</w:t>
      </w:r>
    </w:p>
    <w:p w14:paraId="6E57CB05" w14:textId="77777777" w:rsidR="003B69E1" w:rsidRDefault="00EE1525" w:rsidP="003B69E1">
      <w:pPr>
        <w:pStyle w:val="a3"/>
        <w:numPr>
          <w:ilvl w:val="0"/>
          <w:numId w:val="2"/>
        </w:numPr>
        <w:spacing w:after="0" w:line="360" w:lineRule="auto"/>
        <w:jc w:val="both"/>
        <w:rPr>
          <w:rFonts w:cs="Times New Roman"/>
          <w:szCs w:val="28"/>
        </w:rPr>
      </w:pPr>
      <w:r w:rsidRPr="003B69E1">
        <w:rPr>
          <w:rFonts w:cs="Times New Roman"/>
          <w:szCs w:val="28"/>
        </w:rPr>
        <w:t>Федеральный закон от 30.12.2020 № 489-ФЗ «О молодежной политике в Российской Федерации» (ред. от 28.12.2024) // Собрание законодательства РФ. – 2021. – № 1 (ч. 1). – Ст. 1.</w:t>
      </w:r>
    </w:p>
    <w:p w14:paraId="34788224" w14:textId="40377D1C" w:rsidR="00EE1525" w:rsidRDefault="00EE1525" w:rsidP="007553E8">
      <w:pPr>
        <w:pStyle w:val="a3"/>
        <w:numPr>
          <w:ilvl w:val="0"/>
          <w:numId w:val="2"/>
        </w:numPr>
        <w:spacing w:after="0" w:line="360" w:lineRule="auto"/>
        <w:jc w:val="both"/>
        <w:rPr>
          <w:rFonts w:cs="Times New Roman"/>
          <w:szCs w:val="28"/>
        </w:rPr>
      </w:pPr>
      <w:r w:rsidRPr="003B69E1">
        <w:rPr>
          <w:rFonts w:cs="Times New Roman"/>
          <w:szCs w:val="28"/>
        </w:rPr>
        <w:t>Федеральный закон от 28.12.2024 № 550-ФЗ «О внесении изменений в Федеральный закон „О молодежной политике в Российской Федерации“ и отдельные законодательные акты Российской Федерации» // Собрание законодательства РФ. – 2024. – № 53 (ч. 1). – Ст. 8247.</w:t>
      </w:r>
    </w:p>
    <w:p w14:paraId="2BC78366" w14:textId="19DB9758" w:rsidR="004317B5" w:rsidRDefault="004317B5" w:rsidP="007553E8">
      <w:pPr>
        <w:pStyle w:val="a3"/>
        <w:numPr>
          <w:ilvl w:val="0"/>
          <w:numId w:val="2"/>
        </w:numPr>
        <w:spacing w:after="0" w:line="360" w:lineRule="auto"/>
        <w:jc w:val="both"/>
        <w:rPr>
          <w:rFonts w:cs="Times New Roman"/>
          <w:szCs w:val="28"/>
        </w:rPr>
      </w:pPr>
      <w:r w:rsidRPr="004317B5">
        <w:rPr>
          <w:rFonts w:cs="Times New Roman"/>
          <w:szCs w:val="28"/>
        </w:rPr>
        <w:t>Шак М. П., Шаповал В. А. Особенности правового статуса молодых специалистов: результаты мониторинга // Тенденции развития науки и образования. 2023. № 104-10. С. 138–140.</w:t>
      </w:r>
    </w:p>
    <w:p w14:paraId="1849DC92" w14:textId="46819767" w:rsidR="004317B5" w:rsidRDefault="004317B5" w:rsidP="007553E8">
      <w:pPr>
        <w:pStyle w:val="a3"/>
        <w:numPr>
          <w:ilvl w:val="0"/>
          <w:numId w:val="2"/>
        </w:numPr>
        <w:spacing w:after="0" w:line="360" w:lineRule="auto"/>
        <w:jc w:val="both"/>
        <w:rPr>
          <w:rFonts w:cs="Times New Roman"/>
          <w:szCs w:val="28"/>
        </w:rPr>
      </w:pPr>
      <w:r w:rsidRPr="004317B5">
        <w:rPr>
          <w:rFonts w:cs="Times New Roman"/>
          <w:szCs w:val="28"/>
        </w:rPr>
        <w:t xml:space="preserve">Шак М. П., Шаповал В. А. Правовой статус молодого специалиста // Студент. Наука. Регион: сборник материалов II Региональной </w:t>
      </w:r>
      <w:proofErr w:type="spellStart"/>
      <w:r w:rsidRPr="004317B5">
        <w:rPr>
          <w:rFonts w:cs="Times New Roman"/>
          <w:szCs w:val="28"/>
        </w:rPr>
        <w:t>антиконференции</w:t>
      </w:r>
      <w:proofErr w:type="spellEnd"/>
      <w:r w:rsidRPr="004317B5">
        <w:rPr>
          <w:rFonts w:cs="Times New Roman"/>
          <w:szCs w:val="28"/>
        </w:rPr>
        <w:t>. Киров, 2023. С. 284–287.</w:t>
      </w:r>
    </w:p>
    <w:p w14:paraId="749A309E" w14:textId="77777777" w:rsidR="00B343E4" w:rsidRDefault="00B343E4" w:rsidP="00B343E4">
      <w:pPr>
        <w:pStyle w:val="a3"/>
        <w:spacing w:after="0" w:line="360" w:lineRule="auto"/>
        <w:ind w:left="360"/>
        <w:jc w:val="both"/>
        <w:rPr>
          <w:rFonts w:cs="Times New Roman"/>
          <w:szCs w:val="28"/>
        </w:rPr>
      </w:pPr>
    </w:p>
    <w:p w14:paraId="2D628E55" w14:textId="77777777" w:rsidR="00CB5127" w:rsidRPr="00CB5127" w:rsidRDefault="00CB5127" w:rsidP="00CB5127">
      <w:pPr>
        <w:pStyle w:val="a3"/>
        <w:spacing w:after="0" w:line="360" w:lineRule="auto"/>
        <w:ind w:left="360"/>
        <w:jc w:val="both"/>
        <w:rPr>
          <w:rFonts w:cs="Times New Roman"/>
          <w:b/>
          <w:bCs/>
          <w:szCs w:val="28"/>
        </w:rPr>
      </w:pPr>
      <w:r w:rsidRPr="00CB5127">
        <w:rPr>
          <w:rFonts w:cs="Times New Roman"/>
          <w:b/>
          <w:bCs/>
          <w:szCs w:val="28"/>
        </w:rPr>
        <w:t>Сведения об авторе:</w:t>
      </w:r>
    </w:p>
    <w:p w14:paraId="01563AFE" w14:textId="46A5419A" w:rsidR="00456C49" w:rsidRPr="00B343E4" w:rsidRDefault="00456C49" w:rsidP="00B343E4">
      <w:pPr>
        <w:pStyle w:val="a3"/>
        <w:spacing w:after="0" w:line="360" w:lineRule="auto"/>
        <w:ind w:left="360"/>
        <w:jc w:val="both"/>
        <w:rPr>
          <w:rFonts w:cs="Times New Roman"/>
          <w:szCs w:val="28"/>
        </w:rPr>
      </w:pPr>
      <w:r w:rsidRPr="00456C49">
        <w:rPr>
          <w:rFonts w:cs="Times New Roman"/>
          <w:b/>
          <w:bCs/>
          <w:szCs w:val="28"/>
        </w:rPr>
        <w:t xml:space="preserve">Наталья Романовна </w:t>
      </w:r>
      <w:r w:rsidR="00CB5127" w:rsidRPr="00456C49">
        <w:rPr>
          <w:rFonts w:cs="Times New Roman"/>
          <w:b/>
          <w:bCs/>
          <w:szCs w:val="28"/>
        </w:rPr>
        <w:t>Ярославцева</w:t>
      </w:r>
      <w:r w:rsidR="00CB5127" w:rsidRPr="00CB5127">
        <w:rPr>
          <w:rFonts w:cs="Times New Roman"/>
          <w:szCs w:val="28"/>
        </w:rPr>
        <w:t xml:space="preserve"> – студент Института истории, права и общественных наук, ФГБОУ ВО «Липецкий государственный педагогический университет имени П.П. Семенова-Тян-Шанского» (г. Липецк).</w:t>
      </w:r>
    </w:p>
    <w:p w14:paraId="167C65B1" w14:textId="77777777" w:rsidR="00CB5127" w:rsidRPr="00456C49" w:rsidRDefault="00CB5127" w:rsidP="00CB5127">
      <w:pPr>
        <w:pStyle w:val="a3"/>
        <w:spacing w:after="0" w:line="360" w:lineRule="auto"/>
        <w:ind w:left="360"/>
        <w:jc w:val="both"/>
        <w:rPr>
          <w:rFonts w:cs="Times New Roman"/>
          <w:b/>
          <w:bCs/>
          <w:szCs w:val="28"/>
        </w:rPr>
      </w:pPr>
      <w:r w:rsidRPr="00456C49">
        <w:rPr>
          <w:rFonts w:cs="Times New Roman"/>
          <w:b/>
          <w:bCs/>
          <w:szCs w:val="28"/>
        </w:rPr>
        <w:t>Сведения о научном руководителе:</w:t>
      </w:r>
    </w:p>
    <w:p w14:paraId="063AFD8B" w14:textId="57950D33" w:rsidR="00CB5127" w:rsidRPr="00456C49" w:rsidRDefault="00456C49" w:rsidP="00456C49">
      <w:pPr>
        <w:pStyle w:val="a3"/>
        <w:spacing w:after="0" w:line="360" w:lineRule="auto"/>
        <w:ind w:left="360"/>
        <w:jc w:val="both"/>
        <w:rPr>
          <w:rFonts w:cs="Times New Roman"/>
          <w:szCs w:val="28"/>
        </w:rPr>
      </w:pPr>
      <w:r w:rsidRPr="00456C49">
        <w:rPr>
          <w:rFonts w:cs="Times New Roman"/>
          <w:b/>
          <w:bCs/>
          <w:szCs w:val="28"/>
        </w:rPr>
        <w:t xml:space="preserve">Диана Сергеевна </w:t>
      </w:r>
      <w:proofErr w:type="spellStart"/>
      <w:r w:rsidRPr="00456C49">
        <w:rPr>
          <w:rFonts w:cs="Times New Roman"/>
          <w:b/>
          <w:bCs/>
          <w:szCs w:val="28"/>
        </w:rPr>
        <w:t>Казарова</w:t>
      </w:r>
      <w:proofErr w:type="spellEnd"/>
      <w:r w:rsidR="00CB5127" w:rsidRPr="00CB5127">
        <w:rPr>
          <w:rFonts w:cs="Times New Roman"/>
          <w:szCs w:val="28"/>
        </w:rPr>
        <w:t xml:space="preserve"> – пр</w:t>
      </w:r>
      <w:r>
        <w:rPr>
          <w:rFonts w:cs="Times New Roman"/>
          <w:szCs w:val="28"/>
        </w:rPr>
        <w:t>еподаватель</w:t>
      </w:r>
      <w:r w:rsidR="00CB5127" w:rsidRPr="00CB5127">
        <w:rPr>
          <w:rFonts w:cs="Times New Roman"/>
          <w:szCs w:val="28"/>
        </w:rPr>
        <w:t xml:space="preserve"> кафедры государственно правовых</w:t>
      </w:r>
      <w:r>
        <w:rPr>
          <w:rFonts w:cs="Times New Roman"/>
          <w:szCs w:val="28"/>
        </w:rPr>
        <w:t xml:space="preserve"> </w:t>
      </w:r>
      <w:r w:rsidR="00CB5127" w:rsidRPr="00456C49">
        <w:rPr>
          <w:rFonts w:cs="Times New Roman"/>
          <w:szCs w:val="28"/>
        </w:rPr>
        <w:t xml:space="preserve">дисциплин, ФГБОУ ВО «Липецкий государственный педагогический университет имени П.П. Семенова-Тян-Шанского» (г. Липецк), </w:t>
      </w:r>
      <w:r w:rsidRPr="00456C49">
        <w:rPr>
          <w:rFonts w:cs="Times New Roman"/>
          <w:szCs w:val="28"/>
        </w:rPr>
        <w:t>кандидат</w:t>
      </w:r>
      <w:r w:rsidR="00CB5127" w:rsidRPr="00456C49">
        <w:rPr>
          <w:rFonts w:cs="Times New Roman"/>
          <w:szCs w:val="28"/>
        </w:rPr>
        <w:t xml:space="preserve"> юридических</w:t>
      </w:r>
      <w:r w:rsidRPr="00456C49">
        <w:rPr>
          <w:rFonts w:cs="Times New Roman"/>
          <w:szCs w:val="28"/>
        </w:rPr>
        <w:t xml:space="preserve"> </w:t>
      </w:r>
      <w:r w:rsidR="00CB5127" w:rsidRPr="00456C49">
        <w:rPr>
          <w:rFonts w:cs="Times New Roman"/>
          <w:szCs w:val="28"/>
        </w:rPr>
        <w:t>наук, доцент.</w:t>
      </w:r>
    </w:p>
    <w:sectPr w:rsidR="00CB5127" w:rsidRPr="00456C49" w:rsidSect="0054727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05B43"/>
    <w:multiLevelType w:val="hybridMultilevel"/>
    <w:tmpl w:val="22F8D714"/>
    <w:lvl w:ilvl="0" w:tplc="5B6A4E8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B324490"/>
    <w:multiLevelType w:val="hybridMultilevel"/>
    <w:tmpl w:val="540CA3BC"/>
    <w:lvl w:ilvl="0" w:tplc="368AC9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2500394">
    <w:abstractNumId w:val="1"/>
  </w:num>
  <w:num w:numId="2" w16cid:durableId="11731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57E"/>
    <w:rsid w:val="0009510A"/>
    <w:rsid w:val="000C461A"/>
    <w:rsid w:val="000F75BB"/>
    <w:rsid w:val="00172367"/>
    <w:rsid w:val="001917DD"/>
    <w:rsid w:val="001B63F2"/>
    <w:rsid w:val="001E694E"/>
    <w:rsid w:val="00271DCF"/>
    <w:rsid w:val="003006EE"/>
    <w:rsid w:val="00314C04"/>
    <w:rsid w:val="0033440C"/>
    <w:rsid w:val="00380E5D"/>
    <w:rsid w:val="00391EF7"/>
    <w:rsid w:val="003B69E1"/>
    <w:rsid w:val="003C6E49"/>
    <w:rsid w:val="003D5E6C"/>
    <w:rsid w:val="004317B5"/>
    <w:rsid w:val="00443275"/>
    <w:rsid w:val="00456C49"/>
    <w:rsid w:val="00462A6F"/>
    <w:rsid w:val="00497E5F"/>
    <w:rsid w:val="004B6C9B"/>
    <w:rsid w:val="004D6E1E"/>
    <w:rsid w:val="004D7E41"/>
    <w:rsid w:val="00526DF6"/>
    <w:rsid w:val="0054727E"/>
    <w:rsid w:val="0058255E"/>
    <w:rsid w:val="00592A30"/>
    <w:rsid w:val="005B5D5D"/>
    <w:rsid w:val="0063248A"/>
    <w:rsid w:val="00644351"/>
    <w:rsid w:val="00660DB1"/>
    <w:rsid w:val="00692347"/>
    <w:rsid w:val="006B6E31"/>
    <w:rsid w:val="007026E8"/>
    <w:rsid w:val="0071225A"/>
    <w:rsid w:val="007553E8"/>
    <w:rsid w:val="007B357E"/>
    <w:rsid w:val="007B38B6"/>
    <w:rsid w:val="007C309F"/>
    <w:rsid w:val="007D5283"/>
    <w:rsid w:val="00801B4F"/>
    <w:rsid w:val="00805546"/>
    <w:rsid w:val="008A4022"/>
    <w:rsid w:val="008C752F"/>
    <w:rsid w:val="008D5ED6"/>
    <w:rsid w:val="008D738C"/>
    <w:rsid w:val="0092080A"/>
    <w:rsid w:val="00970599"/>
    <w:rsid w:val="00A8588C"/>
    <w:rsid w:val="00B00315"/>
    <w:rsid w:val="00B343E4"/>
    <w:rsid w:val="00B46A2E"/>
    <w:rsid w:val="00BB2971"/>
    <w:rsid w:val="00C370DD"/>
    <w:rsid w:val="00C5439A"/>
    <w:rsid w:val="00CB5127"/>
    <w:rsid w:val="00D84A2E"/>
    <w:rsid w:val="00DC7192"/>
    <w:rsid w:val="00E45F4A"/>
    <w:rsid w:val="00E5638B"/>
    <w:rsid w:val="00EC7B5D"/>
    <w:rsid w:val="00ED5376"/>
    <w:rsid w:val="00EE1525"/>
    <w:rsid w:val="00EE154B"/>
    <w:rsid w:val="00F43411"/>
    <w:rsid w:val="00FB5C5C"/>
    <w:rsid w:val="00FD491A"/>
    <w:rsid w:val="00FF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258F4"/>
  <w15:chartTrackingRefBased/>
  <w15:docId w15:val="{C052EB3F-D50E-42C1-96E6-A61D2BB86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27E"/>
    <w:pPr>
      <w:spacing w:line="252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6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93199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1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33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17581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3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1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2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A4F79-5EB9-4B27-8A20-F8EA7A392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1090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Roman</cp:lastModifiedBy>
  <cp:revision>4</cp:revision>
  <dcterms:created xsi:type="dcterms:W3CDTF">2026-04-08T19:20:00Z</dcterms:created>
  <dcterms:modified xsi:type="dcterms:W3CDTF">2026-04-10T19:04:00Z</dcterms:modified>
</cp:coreProperties>
</file>