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493A" w14:textId="77A474A7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>ВЛИЯНИЕ КИТАЙСКОГО И АНГЛИЙСКОГО ЯЗЫКОВ НА МОЗГ БИЛИНГВА</w:t>
      </w:r>
    </w:p>
    <w:p w14:paraId="465258BA" w14:textId="40147430" w:rsid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Гнарова Ксения Александровна, Слабунова Дарья Олеговна, Адыгейский Государственный Университет, Майкоп</w:t>
      </w:r>
    </w:p>
    <w:p w14:paraId="0E0DD35F" w14:textId="2802992B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>
        <w:rPr>
          <w:rFonts w:ascii="Times New Roman" w:hAnsi="Times New Roman" w:cs="Times New Roman"/>
          <w:sz w:val="24"/>
          <w:szCs w:val="24"/>
        </w:rPr>
        <w:t xml:space="preserve">Цергой Тереза Александровна, </w:t>
      </w:r>
      <w:r w:rsidRPr="000B3056">
        <w:rPr>
          <w:rFonts w:ascii="Times New Roman" w:hAnsi="Times New Roman" w:cs="Times New Roman"/>
          <w:sz w:val="24"/>
          <w:szCs w:val="24"/>
        </w:rPr>
        <w:t>Адыгейский Государственный Университет, Майкоп</w:t>
      </w:r>
    </w:p>
    <w:p w14:paraId="1F7309F0" w14:textId="3CA009B1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>Актуальность. В условиях глобализации билингвизм становится нормой. Однако большинство исследований посвящено владению двумя фонетическими языками. Изучение же пары «иероглифический (китайский) – фонетический (английский)» представляет особый интерес, поскольку эти языки задействуют принципиально разные когнитивные механизмы. Понимание этих различий важно для оптимизации обучения и развития когнитивной гибкости.</w:t>
      </w:r>
    </w:p>
    <w:p w14:paraId="0AF8BF14" w14:textId="62A0A177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>Степень разработанности. Работы Э. Бялысток (Bialystok, 2009) показали преимущество билингвов в исполнительном контроле. Исследования китайских учёных (Tan et al., 2005) выявили активацию зрительно-пространственных областей коры при чтении иероглифов. Однако сравнительное влияние иероглифического и фонетического языков на память, внимание и тормозный контроль изучено недостаточно, особенно на русскоязычной выборке.</w:t>
      </w:r>
    </w:p>
    <w:p w14:paraId="03C729E7" w14:textId="77777777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>Цель и задачи.</w:t>
      </w:r>
    </w:p>
    <w:p w14:paraId="0A9F28E9" w14:textId="77777777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>Цель – выявить психологические различия в когнитивных эффектах изучения китайского (иероглифического) и английского (фонетического) языков, а также определить влияние частого переключения между ними на когнитивную гибкость и тормозный контроль.</w:t>
      </w:r>
    </w:p>
    <w:p w14:paraId="3CD75EDB" w14:textId="475F4E16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>Задачи: 1) теоретически сравнить механизмы обработки иероглифов и букв; 2) эмпирически оценить у студентов, изучающих оба языка, уровень зрительного внимания, пространственного мышления, фонологического осознания и способность к переключению.</w:t>
      </w:r>
    </w:p>
    <w:p w14:paraId="293AEBBD" w14:textId="2E438580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>Методы. Теоретический анализ литературы и эмпирическое исследование: опрос 20 студентов (18–22 лет, изучающих китайский и английский не менее 2 лет). Использовалась авторская анкета из 10 утверждений (шкала Лайкерта), направленная на оценку субъективных когнитивных трудностей при переключении, внимания к деталям, пространственного воображения и фонологической памяти.</w:t>
      </w:r>
    </w:p>
    <w:p w14:paraId="45734C4E" w14:textId="6F653B5D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>Научные результаты, выводы.</w:t>
      </w:r>
    </w:p>
    <w:p w14:paraId="73433888" w14:textId="77777777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>1. Теоретический анализ: китайский язык (иероглифы) развивает зрительное внимание к деталям, пространственное мышление и целостное восприятие (правополушарные стратегии). Английский язык (фонетический) тренирует фонологическое осознание, последовательную обработку информации и исполнительный контроль (левополушарные стратегии). Переключение с китайского на английский требует подавления визуально-пространственного кода и активации фонологического – это тренирует когнитивную гибкость.</w:t>
      </w:r>
    </w:p>
    <w:p w14:paraId="74DC9E55" w14:textId="77777777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>2. Результаты опроса:</w:t>
      </w:r>
    </w:p>
    <w:p w14:paraId="4EB3167E" w14:textId="77777777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 xml:space="preserve">   · 80% респондентов сообщили о хорошем пространственном воображении (подтверждает эффект иероглифики).</w:t>
      </w:r>
    </w:p>
    <w:p w14:paraId="4772C41A" w14:textId="77777777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lastRenderedPageBreak/>
        <w:t xml:space="preserve">   · 60% не отмечают значительных трудностей при переключении между языками, но 30% испытывают «торможение» после долгой работы с одним языком.</w:t>
      </w:r>
    </w:p>
    <w:p w14:paraId="18D9FB9B" w14:textId="77777777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 xml:space="preserve">   · 50% считают, что визуальное запоминание иероглифов эффективнее аудиального, что говорит о преобладании зрительной стратегии.</w:t>
      </w:r>
    </w:p>
    <w:p w14:paraId="7D961AD5" w14:textId="77777777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 xml:space="preserve">   · 80% отметили, что прописывание иероглифов рукой значительно улучшает запоминание (моторная кора).</w:t>
      </w:r>
    </w:p>
    <w:p w14:paraId="0290600F" w14:textId="77777777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 xml:space="preserve">   · В быстрых игровых ситуациях 50% респондентов испытывают трудности с переключением, что указывает на недостаточную автоматизацию навыка.</w:t>
      </w:r>
    </w:p>
    <w:p w14:paraId="6083AE41" w14:textId="19A36403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</w:rPr>
        <w:t>3. Общий вывод: одновременное изучение иероглифического и фонетического языков создаёт двойную тренировку: развиваются и визуально-пространственный интеллект, и фонологическая память, а необходимость постоянного переключения усиливает исполнительный контроль. Однако положительные эффекты проявляются не у всех и требуют высокого уровня владения обоими языками.</w:t>
      </w:r>
    </w:p>
    <w:p w14:paraId="2128C3B0" w14:textId="2C407912" w:rsidR="000B3056" w:rsidRPr="005B341D" w:rsidRDefault="000B3056" w:rsidP="000B30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3056">
        <w:rPr>
          <w:rFonts w:ascii="Times New Roman" w:hAnsi="Times New Roman" w:cs="Times New Roman"/>
          <w:sz w:val="24"/>
          <w:szCs w:val="24"/>
        </w:rPr>
        <w:t>Список</w:t>
      </w:r>
      <w:r w:rsidRPr="005B3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3056">
        <w:rPr>
          <w:rFonts w:ascii="Times New Roman" w:hAnsi="Times New Roman" w:cs="Times New Roman"/>
          <w:sz w:val="24"/>
          <w:szCs w:val="24"/>
        </w:rPr>
        <w:t>литературы</w:t>
      </w:r>
    </w:p>
    <w:p w14:paraId="611C6E6F" w14:textId="77777777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3056">
        <w:rPr>
          <w:rFonts w:ascii="Times New Roman" w:hAnsi="Times New Roman" w:cs="Times New Roman"/>
          <w:sz w:val="24"/>
          <w:szCs w:val="24"/>
          <w:lang w:val="en-US"/>
        </w:rPr>
        <w:t>1. Bialystok E. Bilingualism: The good, the bad, and the indifferent // Bilingualism: Language and Cognition. 2009. Vol. 12. No. 1. P. 3–11.</w:t>
      </w:r>
    </w:p>
    <w:p w14:paraId="1AC5948F" w14:textId="77777777" w:rsidR="000B3056" w:rsidRPr="000B3056" w:rsidRDefault="000B3056" w:rsidP="000B3056">
      <w:pPr>
        <w:rPr>
          <w:rFonts w:ascii="Times New Roman" w:hAnsi="Times New Roman" w:cs="Times New Roman"/>
          <w:sz w:val="24"/>
          <w:szCs w:val="24"/>
        </w:rPr>
      </w:pPr>
      <w:r w:rsidRPr="000B3056">
        <w:rPr>
          <w:rFonts w:ascii="Times New Roman" w:hAnsi="Times New Roman" w:cs="Times New Roman"/>
          <w:sz w:val="24"/>
          <w:szCs w:val="24"/>
          <w:lang w:val="en-US"/>
        </w:rPr>
        <w:t xml:space="preserve">2. Tan L.H., Laird A.R., Li K., Fox P.T. Neuroanatomical correlates of phonological processing of Chinese characters and alphabetic words: A meta-analysis // Human Brain Mapping. </w:t>
      </w:r>
      <w:r w:rsidRPr="000B3056">
        <w:rPr>
          <w:rFonts w:ascii="Times New Roman" w:hAnsi="Times New Roman" w:cs="Times New Roman"/>
          <w:sz w:val="24"/>
          <w:szCs w:val="24"/>
        </w:rPr>
        <w:t>2005. Vol. 25. No. 1. P. 83–91.</w:t>
      </w:r>
    </w:p>
    <w:p w14:paraId="0839555D" w14:textId="42145DD7" w:rsidR="00BE1A8D" w:rsidRPr="000B3056" w:rsidRDefault="005B341D" w:rsidP="000B3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B3056" w:rsidRPr="000B3056">
        <w:rPr>
          <w:rFonts w:ascii="Times New Roman" w:hAnsi="Times New Roman" w:cs="Times New Roman"/>
          <w:sz w:val="24"/>
          <w:szCs w:val="24"/>
        </w:rPr>
        <w:t>. Грамота.ру: http://www.gramota.ru</w:t>
      </w:r>
    </w:p>
    <w:sectPr w:rsidR="00BE1A8D" w:rsidRPr="000B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83"/>
    <w:rsid w:val="000B3056"/>
    <w:rsid w:val="005B341D"/>
    <w:rsid w:val="00675E7D"/>
    <w:rsid w:val="008C1C83"/>
    <w:rsid w:val="00AA4503"/>
    <w:rsid w:val="00BE1A8D"/>
    <w:rsid w:val="00C82740"/>
    <w:rsid w:val="00F1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7F58"/>
  <w15:chartTrackingRefBased/>
  <w15:docId w15:val="{1779F3C8-93FE-4972-B28F-5F46084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1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1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1C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1C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1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1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1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1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1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1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1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1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1C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1C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1C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1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1C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1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5</cp:revision>
  <dcterms:created xsi:type="dcterms:W3CDTF">2026-04-10T12:20:00Z</dcterms:created>
  <dcterms:modified xsi:type="dcterms:W3CDTF">2026-04-10T12:28:00Z</dcterms:modified>
</cp:coreProperties>
</file>