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30A8" w14:textId="7CBA17A8" w:rsidR="00C86AD8" w:rsidRPr="00C14E1B" w:rsidRDefault="00C86AD8" w:rsidP="00C14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О</w:t>
      </w:r>
      <w:r w:rsidR="00C14E1B">
        <w:rPr>
          <w:rFonts w:ascii="Times New Roman" w:hAnsi="Times New Roman" w:cs="Times New Roman"/>
          <w:sz w:val="24"/>
          <w:szCs w:val="24"/>
        </w:rPr>
        <w:t>собенности китайской лексики в социальной медиа</w:t>
      </w:r>
    </w:p>
    <w:p w14:paraId="793B925D" w14:textId="497F8223" w:rsidR="00C14E1B" w:rsidRDefault="00C86AD8" w:rsidP="00F131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C14E1B">
        <w:rPr>
          <w:rFonts w:ascii="Times New Roman" w:hAnsi="Times New Roman" w:cs="Times New Roman"/>
          <w:sz w:val="24"/>
          <w:szCs w:val="24"/>
        </w:rPr>
        <w:t>сения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313D">
        <w:rPr>
          <w:rFonts w:ascii="Times New Roman" w:hAnsi="Times New Roman" w:cs="Times New Roman"/>
          <w:sz w:val="24"/>
          <w:szCs w:val="24"/>
        </w:rPr>
        <w:t>АГУ</w:t>
      </w:r>
      <w:r w:rsidR="00F1313D" w:rsidRPr="00F1313D">
        <w:rPr>
          <w:rFonts w:ascii="Times New Roman" w:hAnsi="Times New Roman" w:cs="Times New Roman"/>
          <w:sz w:val="24"/>
          <w:szCs w:val="24"/>
        </w:rPr>
        <w:t>, Майкоп</w:t>
      </w:r>
    </w:p>
    <w:p w14:paraId="68ABE7B2" w14:textId="74DDBFE0" w:rsidR="00C86AD8" w:rsidRDefault="00C86AD8" w:rsidP="00F131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Слабунова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F1313D">
        <w:rPr>
          <w:rFonts w:ascii="Times New Roman" w:hAnsi="Times New Roman" w:cs="Times New Roman"/>
          <w:sz w:val="24"/>
          <w:szCs w:val="24"/>
        </w:rPr>
        <w:t>арья Олеговна, АГУ, Майкоп</w:t>
      </w:r>
    </w:p>
    <w:p w14:paraId="5B2AECBD" w14:textId="6AEFD288" w:rsidR="00C86AD8" w:rsidRPr="00C86AD8" w:rsidRDefault="00C86AD8" w:rsidP="00F131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Зуриет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Нурбиевна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старший преподаватель</w:t>
      </w:r>
      <w:r w:rsidR="00F1313D">
        <w:rPr>
          <w:rFonts w:ascii="Times New Roman" w:hAnsi="Times New Roman" w:cs="Times New Roman"/>
          <w:sz w:val="24"/>
          <w:szCs w:val="24"/>
        </w:rPr>
        <w:t xml:space="preserve">, </w:t>
      </w:r>
      <w:r w:rsidR="00F1313D" w:rsidRPr="00F1313D">
        <w:rPr>
          <w:rFonts w:ascii="Times New Roman" w:hAnsi="Times New Roman" w:cs="Times New Roman"/>
          <w:sz w:val="24"/>
          <w:szCs w:val="24"/>
        </w:rPr>
        <w:t>АГУ,</w:t>
      </w:r>
      <w:r w:rsidR="00F1313D">
        <w:rPr>
          <w:rFonts w:ascii="Times New Roman" w:hAnsi="Times New Roman" w:cs="Times New Roman"/>
          <w:sz w:val="24"/>
          <w:szCs w:val="24"/>
        </w:rPr>
        <w:t xml:space="preserve"> </w:t>
      </w:r>
      <w:r w:rsidR="00F1313D" w:rsidRPr="00F1313D">
        <w:rPr>
          <w:rFonts w:ascii="Times New Roman" w:hAnsi="Times New Roman" w:cs="Times New Roman"/>
          <w:sz w:val="24"/>
          <w:szCs w:val="24"/>
        </w:rPr>
        <w:t>Майкоп</w:t>
      </w:r>
    </w:p>
    <w:p w14:paraId="10D1889D" w14:textId="55AC3B5D" w:rsidR="00C86AD8" w:rsidRPr="00C14E1B" w:rsidRDefault="00C86AD8" w:rsidP="00F131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Актуальность темы. Социальные медиа в Китае (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Douyin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) охватывают более миллиарда активных пользователей, формируя уникальную языковую среду. Китайский интернет-сленг не только отражает социокультурные изменения, но и активно влияет на развитие современного китайского языка. Изучение особенностей лексики китайских соцмедиа необходимо для понимания механизмов цифровой коммуникации, адаптации языка к новым технологическим и политическим условиям, а также для эффективного межкультурного взаимодействия.</w:t>
      </w:r>
    </w:p>
    <w:p w14:paraId="342AC046" w14:textId="0FE68961" w:rsidR="00C86AD8" w:rsidRPr="00C14E1B" w:rsidRDefault="00C86AD8" w:rsidP="00F131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 xml:space="preserve">Степень разработанности. Проблематика интернет-лексики китайского языка привлекает внимание как зарубежных (D. Crystal, J. 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Seargeant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), так и китайских лингвистов (Чжан Вэй, Ли Сюань). Исследования фокусируются на фонетических играх, аббревиации и цифровых кодах. Однако системный анализ механизмов словообразования именно в контексте социальных медиа последних лет (2023–2026) с учётом влияния политики фильтрации контента («чувствительные слова») и алгоритмов платформ остаётся недостаточно разработанным. Настоящая работа восполняет этот пробел.</w:t>
      </w:r>
    </w:p>
    <w:p w14:paraId="2D87B25B" w14:textId="1A30FC3F" w:rsidR="00C86AD8" w:rsidRPr="00C14E1B" w:rsidRDefault="00C86AD8" w:rsidP="00F131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Цель и задачи. Цель – выявить и классифицировать основные способы образования и семантические категории китайской лексики в социальных медиа. Задачи: 1) определить продуктивные словообразовательные модели (аббревиация, фонетические игры, морфологические инновации); 2) выделить ключевые семантические группы (социально-критическая, эмоциональная, функциональный сленг платформ); 3) проанализировать влияние социокультурного контекста и языковой политики на формирование данной лексики.</w:t>
      </w:r>
    </w:p>
    <w:p w14:paraId="1926310A" w14:textId="6449C497" w:rsidR="00C86AD8" w:rsidRPr="00C14E1B" w:rsidRDefault="00C86AD8" w:rsidP="00F131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 xml:space="preserve">Методы. В работе использованы методы сплошной выборки лексических единиц из постов и комментариев на платформах 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Douyin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Tieba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 xml:space="preserve"> (2024–2026), компонентного анализа, семантической классификации, а также дискурс-анализ контекстов употребления. Для выявления способов словообразования применён деривационный анализ.</w:t>
      </w:r>
    </w:p>
    <w:p w14:paraId="0AFDA376" w14:textId="7D07CE89" w:rsidR="00C86AD8" w:rsidRPr="00C14E1B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Научные результаты.</w:t>
      </w:r>
    </w:p>
    <w:p w14:paraId="3F748C88" w14:textId="77777777" w:rsidR="00C86AD8" w:rsidRPr="00C86AD8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1. Выявлены четыре ведущих механизма словообразования: аббревиация на основе пиньиня (GG, MM) и цифр (886); фонетические омографические замены («</w:t>
      </w:r>
      <w:r w:rsidRPr="00C86AD8">
        <w:rPr>
          <w:rFonts w:ascii="Times New Roman" w:eastAsia="MS Gothic" w:hAnsi="Times New Roman" w:cs="Times New Roman"/>
          <w:sz w:val="24"/>
          <w:szCs w:val="24"/>
        </w:rPr>
        <w:t>米</w:t>
      </w:r>
      <w:r w:rsidRPr="00C86AD8">
        <w:rPr>
          <w:rFonts w:ascii="Times New Roman" w:hAnsi="Times New Roman" w:cs="Times New Roman"/>
          <w:sz w:val="24"/>
          <w:szCs w:val="24"/>
        </w:rPr>
        <w:t>» вместо «</w:t>
      </w:r>
      <w:r w:rsidRPr="00C86AD8">
        <w:rPr>
          <w:rFonts w:ascii="Times New Roman" w:eastAsia="Microsoft JhengHei" w:hAnsi="Times New Roman" w:cs="Times New Roman"/>
          <w:sz w:val="24"/>
          <w:szCs w:val="24"/>
        </w:rPr>
        <w:t>钱</w:t>
      </w:r>
      <w:r w:rsidRPr="00C86AD8">
        <w:rPr>
          <w:rFonts w:ascii="Times New Roman" w:hAnsi="Times New Roman" w:cs="Times New Roman"/>
          <w:sz w:val="24"/>
          <w:szCs w:val="24"/>
        </w:rPr>
        <w:t>» для денег); морфологические инновации («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主理人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 вместо традиционного 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老板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»); гибридные англо-китайские образования («</w:t>
      </w:r>
      <w:r w:rsidRPr="00C86AD8">
        <w:rPr>
          <w:rFonts w:ascii="Times New Roman" w:eastAsia="MS Gothic" w:hAnsi="Times New Roman" w:cs="Times New Roman"/>
          <w:sz w:val="24"/>
          <w:szCs w:val="24"/>
        </w:rPr>
        <w:t>独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86AD8">
        <w:rPr>
          <w:rFonts w:ascii="Times New Roman" w:eastAsia="MS Gothic" w:hAnsi="Times New Roman" w:cs="Times New Roman"/>
          <w:sz w:val="24"/>
          <w:szCs w:val="24"/>
        </w:rPr>
        <w:t>无</w:t>
      </w:r>
      <w:proofErr w:type="spellStart"/>
      <w:r w:rsidRPr="00C86AD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»).</w:t>
      </w:r>
    </w:p>
    <w:p w14:paraId="75400CC1" w14:textId="77777777" w:rsidR="00C86AD8" w:rsidRPr="00C86AD8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2. Установлены основные семантические категории: социально-критическая лексика («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内卷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躺平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老鼠人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»); лексика эмоций и самоидентификации («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活人感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敬自己一杯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»); функциональный «эзопов язык» для обхода алгоритмов («</w:t>
      </w:r>
      <w:proofErr w:type="spellStart"/>
      <w:r w:rsidRPr="00C86AD8">
        <w:rPr>
          <w:rFonts w:ascii="Times New Roman" w:eastAsia="Microsoft JhengHei" w:hAnsi="Times New Roman" w:cs="Times New Roman"/>
          <w:sz w:val="24"/>
          <w:szCs w:val="24"/>
        </w:rPr>
        <w:t>啵啵间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 вместо «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直播</w:t>
      </w:r>
      <w:r w:rsidRPr="00C86AD8">
        <w:rPr>
          <w:rFonts w:ascii="Times New Roman" w:eastAsia="Microsoft JhengHei" w:hAnsi="Times New Roman" w:cs="Times New Roman"/>
          <w:sz w:val="24"/>
          <w:szCs w:val="24"/>
        </w:rPr>
        <w:t>间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»).</w:t>
      </w:r>
    </w:p>
    <w:p w14:paraId="7ACF67CB" w14:textId="2F8B5D60" w:rsidR="00C86AD8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3. Доказано, что система фильтрации «чувствительных слов» стимулирует появление эвфемизмов и иносказаний, формируя феномен «ротовой литературы» (</w:t>
      </w:r>
      <w:proofErr w:type="spellStart"/>
      <w:r w:rsidRPr="00C86AD8">
        <w:rPr>
          <w:rFonts w:ascii="Times New Roman" w:eastAsia="MS Gothic" w:hAnsi="Times New Roman" w:cs="Times New Roman"/>
          <w:sz w:val="24"/>
          <w:szCs w:val="24"/>
        </w:rPr>
        <w:t>口口文学</w:t>
      </w:r>
      <w:proofErr w:type="spellEnd"/>
      <w:r w:rsidRPr="00C86AD8">
        <w:rPr>
          <w:rFonts w:ascii="Times New Roman" w:hAnsi="Times New Roman" w:cs="Times New Roman"/>
          <w:sz w:val="24"/>
          <w:szCs w:val="24"/>
        </w:rPr>
        <w:t>).</w:t>
      </w:r>
    </w:p>
    <w:p w14:paraId="7198FA25" w14:textId="77777777" w:rsidR="00777F51" w:rsidRPr="00C14E1B" w:rsidRDefault="00777F51" w:rsidP="00777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8AE67" w14:textId="161190A5" w:rsidR="00C86AD8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Выводы. Лексика китайских социальных медиа представляет собой динамичную систему, развивающуюся на пересечении лингвистического творчества, технологических ограничений и социального запроса. Дальнейшее изучение этого пласта лексики важно для мониторинга социокультурных процессов в цифровом китайском обществе.</w:t>
      </w:r>
    </w:p>
    <w:p w14:paraId="26AFB2E9" w14:textId="77777777" w:rsidR="00777F51" w:rsidRPr="00C86AD8" w:rsidRDefault="00777F51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429014D" w14:textId="3AE6C73C" w:rsidR="00C86AD8" w:rsidRPr="00C86AD8" w:rsidRDefault="00C86AD8" w:rsidP="00F131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AD8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9ECD710" w14:textId="3E7DE30E" w:rsidR="00C86AD8" w:rsidRDefault="00F1313D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6AD8" w:rsidRPr="00C86AD8">
        <w:rPr>
          <w:rFonts w:ascii="Times New Roman" w:hAnsi="Times New Roman" w:cs="Times New Roman"/>
          <w:sz w:val="24"/>
          <w:szCs w:val="24"/>
        </w:rPr>
        <w:t>. Краевская И.О. Китайский интернет-сленг: эвфемизмы и самоцензура в социальных медиа // Актуальные проблемы филологии: материалы Всероссийской научно-практической конференции. – Томск: Изд-во Томского политехнического университета, 2025. – С. 112–120.</w:t>
      </w:r>
    </w:p>
    <w:p w14:paraId="37FFC6F6" w14:textId="05FCAE10" w:rsidR="00F1313D" w:rsidRPr="00C86AD8" w:rsidRDefault="00F1313D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313D">
        <w:rPr>
          <w:rFonts w:ascii="Times New Roman" w:hAnsi="Times New Roman" w:cs="Times New Roman"/>
          <w:sz w:val="24"/>
          <w:szCs w:val="24"/>
        </w:rPr>
        <w:t>. Чжан Вэй. Интернет-лексика современного китайского языка: словообразовательные модели и функционирование. – Пекин: Изд-во Пекинского университета, 2021. – 215 с.</w:t>
      </w:r>
    </w:p>
    <w:p w14:paraId="3E037913" w14:textId="77777777" w:rsidR="00C86AD8" w:rsidRPr="00C86AD8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86AD8">
        <w:rPr>
          <w:rFonts w:ascii="Times New Roman" w:hAnsi="Times New Roman" w:cs="Times New Roman"/>
          <w:sz w:val="24"/>
          <w:szCs w:val="24"/>
          <w:lang w:val="en-US"/>
        </w:rPr>
        <w:t>3. Crystal D. Internet Linguistics: A Student Guide. – London: Routledge, 2020. – 192 p.</w:t>
      </w:r>
    </w:p>
    <w:p w14:paraId="17D10395" w14:textId="264895D6" w:rsidR="00530BCA" w:rsidRPr="00C86AD8" w:rsidRDefault="00C86AD8" w:rsidP="00777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C86AD8">
        <w:rPr>
          <w:rFonts w:ascii="Times New Roman" w:hAnsi="Times New Roman" w:cs="Times New Roman"/>
          <w:sz w:val="24"/>
          <w:szCs w:val="24"/>
          <w:lang w:val="en-US"/>
        </w:rPr>
        <w:t>4. Seargeant P., Tagg C. The Language of Social Media: Identity and Community on the Internet. – Basingstoke: Palgrave Macmillan, 2019. – 260 p.</w:t>
      </w:r>
    </w:p>
    <w:sectPr w:rsidR="00530BCA" w:rsidRPr="00C8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7A"/>
    <w:rsid w:val="00530BCA"/>
    <w:rsid w:val="00777F51"/>
    <w:rsid w:val="00826C7A"/>
    <w:rsid w:val="00AB4F69"/>
    <w:rsid w:val="00C14E1B"/>
    <w:rsid w:val="00C86AD8"/>
    <w:rsid w:val="00D50A09"/>
    <w:rsid w:val="00E62CD5"/>
    <w:rsid w:val="00F1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590E"/>
  <w15:chartTrackingRefBased/>
  <w15:docId w15:val="{4B117BB8-ABC2-492D-84CD-540F0628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C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C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C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C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C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C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C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C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C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Анна Гибалова</cp:lastModifiedBy>
  <cp:revision>2</cp:revision>
  <dcterms:created xsi:type="dcterms:W3CDTF">2026-04-10T16:51:00Z</dcterms:created>
  <dcterms:modified xsi:type="dcterms:W3CDTF">2026-04-10T16:51:00Z</dcterms:modified>
</cp:coreProperties>
</file>