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2B" w:rsidRPr="00532DE7" w:rsidRDefault="00AB03D7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3D7">
        <w:rPr>
          <w:rFonts w:ascii="Times New Roman" w:hAnsi="Times New Roman" w:cs="Times New Roman"/>
          <w:b/>
          <w:sz w:val="24"/>
          <w:szCs w:val="24"/>
        </w:rPr>
        <w:t>ПЕДАГОГИЧЕСКОЕ ОБОСНОВАНИЕ КОМПЛЕКСНОЙ МЕТОДИКИ РАЗВИТИЯ ГИБКОСТИ У ДЕВОЧЕК 6–8 ЛЕТ НА ЭТАПЕ НАЧАЛЬНОЙ ПОДГОТОВКИ В ХУДОЖЕСТВЕННОЙ ГИМНАСТИКЕ</w:t>
      </w:r>
    </w:p>
    <w:p w:rsidR="00532DE7" w:rsidRDefault="00AB03D7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AB03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Жолудева</w:t>
      </w:r>
    </w:p>
    <w:p w:rsidR="00F117FE" w:rsidRPr="00807512" w:rsidRDefault="0081730C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студентка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 ИФК и дзюдо</w:t>
      </w:r>
    </w:p>
    <w:p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D7675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Коломийцева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канд. </w:t>
      </w:r>
      <w:proofErr w:type="spellStart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наук, доцент</w:t>
      </w:r>
    </w:p>
    <w:p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:rsidR="009702E2" w:rsidRDefault="009702E2" w:rsidP="001C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3D7" w:rsidRPr="004A32E3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исследования обусловлена повышением требований к уровню физической подготовленности юных гимнасток и необходимостью научного обоснования средств и методов развития гибкости на начальном этапе подготовки. В художественной гимнастике гибкость выступает базовым физическим качеством, определяющим амплитуду движений, выразительность техники и успешность освоения соревновательных элементов. Недостаточный уровень подвижности в суставах ограничивает технический прогресс спортсменок, повышает риск перегрузок и травм, а также снижает эстетическую ценность исполнения упражнений.</w:t>
      </w:r>
      <w:r w:rsid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2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A32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Особую значимость приобретает разработка методики развития гибкости у девочек 6–8 лет, поскольку данный возрастной период характеризуется высокой пластичностью опорно-двигательного аппарата и относится к </w:t>
      </w:r>
      <w:proofErr w:type="gramStart"/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сенситивным</w:t>
      </w:r>
      <w:proofErr w:type="gramEnd"/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формирования амплитудных двигательных действий. На этапе начальной подготовки закладываются функциональные предпосылки для дальнейшего спортивного совершенствования, что требует строго дозированного и методически выверенного воздействия.</w:t>
      </w:r>
      <w:r w:rsid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32E3" w:rsidRPr="007C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</w:t>
      </w:r>
      <w:r w:rsidR="004A32E3" w:rsidRPr="007C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исследования – процесс развития гибкости у девочек 6–8 лет на этапе начальной подготовки в художественной гимнастике.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исследования – методика развития гибкости у юных гимнасток с учётом возрастных особенностей и специфики вида спорта.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 – разработать и экспериментально обосновать комплексную методику развития гибкости у девочек 6–8 лет, обеспечивающую эффективное формирование подвижности в суставах и подготовку к освоению технически сложных элементов.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исследования заключалась в предположении о том, что применение специально разработанной методики, включающей рациональное сочетание средств развития активной и пассивной гибкости с учётом сенситивных периодов, позволит достоверно повысить показатели подвижности по сравнению с традиционной программой подготовки.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использовались методы анализа научной литературы, педагогического наблюдения, тестирования, педагогического эксперимента и методы математической статистики. Педагогический эксперимент проводился на базе специализированной спортивной школы олимпийского резерва по художественной гимнастике. В нём приняли участие 40 гимнасток 6–8 лет, разделённых на контрольную (n = 20) и экспериментальную (n = 20) группы. До начала эксперимента статистически значимых различий между группами выявлено не было (p &gt; 0,05).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работа включала подготовительный, основной и заключительный этапы. В течение шести месяцев спортсменки тренировались три раза в неделю по 60–75 минут. Разработанная методика строилась на комплексном подходе и предусматривала последовательное развитие активной и пассивной гибкости. Структура занятия включала подготовительную (15–20 минут), основную (30–40 минут) и заключительную (10–15 минут) части. Соотношение упражнений составляло: 50 % – активные динамические, 10–15 % – статические, 35–40 % – пассивные и активно-пассивные упражнения. Фиксация статических положений осуществлялась в течение 4–6 секунд, темп динамических движений – в среднем одно повторение в секунду.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упражнений был направлен на развитие подвижности плечевого пояса, позвоночника, тазобедренных и голеностопных суставов и включал маховые движения, наклоны, выпады, элементы шпагатов, мосты, упражнения с предметами и на полу. Особое внимание уделялось постепенности увеличения амплитуды и строгому контролю техники выполнения.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итогового тестирования выявил положительную динамику в обеих группах, однако в экспериментальной группе изменения носили более выраженный характер (p &lt; 0,05). В тесте «</w:t>
      </w:r>
      <w:proofErr w:type="gramStart"/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</w:t>
      </w:r>
      <w:proofErr w:type="gramEnd"/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вперёд сидя» показатели составили 10,8 см в контрольной группе и 8,2 см в экспериментальной. В упражнении «Продольный шпагат» результаты составили соответственно 5,5 см и 3,2 см; в «Поперечном шпагате» – 9,0 см и 6,5 см. Показатели выполнения «Моста» составили 43,2 см в контрольной группе и 38,5 см в экспериментальной. Существенные различия отмечены также в тестах активной гибкости: «Активный мах ногой вперёд» – 152,5° и 165,4°; «V-сидение» – 72,3° и 82,1° соответственно.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прирост зафиксирован в показателях подвижности тазобедренных суставов и гибкости позвоночника, что имеет принципиальное значение для освоения технического арсенала художественной гимнастики. Разница в показателе «Продольного шпагата» достигла 29,5 %, что свидетельствует о высокой эффективности разработанной методики.</w:t>
      </w:r>
    </w:p>
    <w:p w:rsidR="00AB03D7" w:rsidRPr="00AB03D7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результаты подтверждают целесообразность комплексного подхода к развитию гибкости с рациональным распределением активных и пассивных упражнений. Разработанная методика обеспечивает более выраженный прирост амплитуды движений, способствует формированию устойчивой функциональной базы и повышает готовность юных гимнасток к освоению сложных технических элементов.</w:t>
      </w:r>
    </w:p>
    <w:p w:rsidR="006E79BD" w:rsidRPr="006E79BD" w:rsidRDefault="00AB03D7" w:rsidP="00AB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экспериментально доказано преимущество предложенной методики по сравнению с традиционной программой подготовки. Ее внедрение в тренировочный процесс позволяет повысить эффективность развития гибкости на начальном этапе и создать оптимальные условия для дальнейшего спортивного совершенствования.</w:t>
      </w:r>
    </w:p>
    <w:p w:rsidR="006118E4" w:rsidRPr="00807512" w:rsidRDefault="00BF528F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4A32E3" w:rsidRPr="006E79BD" w:rsidRDefault="004A32E3" w:rsidP="004A32E3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Кулькова</w:t>
      </w:r>
      <w:proofErr w:type="spellEnd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Построение тренировочного процесса гимнастов на начальном этапе подготовки: </w:t>
      </w:r>
      <w:proofErr w:type="spellStart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</w:t>
      </w:r>
      <w:proofErr w:type="spellEnd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... канд. </w:t>
      </w:r>
      <w:proofErr w:type="spellStart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наук: 13.00.04 / </w:t>
      </w:r>
      <w:proofErr w:type="spellStart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Кулькова</w:t>
      </w:r>
      <w:proofErr w:type="spellEnd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Валерьевна</w:t>
      </w:r>
      <w:proofErr w:type="gramStart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1991.-23 с.</w:t>
      </w:r>
    </w:p>
    <w:p w:rsidR="004A32E3" w:rsidRDefault="004A32E3" w:rsidP="0081730C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Ломова О. А. Методические особенности развития гибкости у детей 7–8 лет, занимающихся художественной гимнастикой / О. А. Ломова, А. А. Варина // Теория и практика физической культуры. – 2019. – №8. – С. 45–48</w:t>
      </w:r>
      <w:bookmarkStart w:id="0" w:name="_GoBack"/>
      <w:bookmarkEnd w:id="0"/>
    </w:p>
    <w:sectPr w:rsidR="004A32E3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16207F"/>
    <w:multiLevelType w:val="hybridMultilevel"/>
    <w:tmpl w:val="C7FA5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AF427E"/>
    <w:multiLevelType w:val="hybridMultilevel"/>
    <w:tmpl w:val="2AB01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8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1D"/>
    <w:rsid w:val="0005008F"/>
    <w:rsid w:val="000763E8"/>
    <w:rsid w:val="00090CBF"/>
    <w:rsid w:val="000A78DC"/>
    <w:rsid w:val="000D7675"/>
    <w:rsid w:val="00125CFA"/>
    <w:rsid w:val="00173CE7"/>
    <w:rsid w:val="00186A9D"/>
    <w:rsid w:val="00196921"/>
    <w:rsid w:val="001C4995"/>
    <w:rsid w:val="001E3794"/>
    <w:rsid w:val="001F06E9"/>
    <w:rsid w:val="0020096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A32E3"/>
    <w:rsid w:val="004B06F1"/>
    <w:rsid w:val="004D2EBE"/>
    <w:rsid w:val="00532DE7"/>
    <w:rsid w:val="00552C96"/>
    <w:rsid w:val="00587535"/>
    <w:rsid w:val="005A018F"/>
    <w:rsid w:val="006118E4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6B53"/>
    <w:rsid w:val="00791AB1"/>
    <w:rsid w:val="0079409B"/>
    <w:rsid w:val="007965F0"/>
    <w:rsid w:val="007C61DE"/>
    <w:rsid w:val="00807512"/>
    <w:rsid w:val="0081730C"/>
    <w:rsid w:val="00874854"/>
    <w:rsid w:val="00925E77"/>
    <w:rsid w:val="00944499"/>
    <w:rsid w:val="009702E2"/>
    <w:rsid w:val="009763CA"/>
    <w:rsid w:val="00AA43A6"/>
    <w:rsid w:val="00AB03D7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F7A04"/>
    <w:rsid w:val="00E20639"/>
    <w:rsid w:val="00E33C23"/>
    <w:rsid w:val="00E44643"/>
    <w:rsid w:val="00E57A68"/>
    <w:rsid w:val="00ED054A"/>
    <w:rsid w:val="00F117F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ZavBMBD</cp:lastModifiedBy>
  <cp:revision>64</cp:revision>
  <dcterms:created xsi:type="dcterms:W3CDTF">2019-11-29T06:42:00Z</dcterms:created>
  <dcterms:modified xsi:type="dcterms:W3CDTF">2026-03-02T17:38:00Z</dcterms:modified>
</cp:coreProperties>
</file>