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67339" w14:textId="50EFD02B" w:rsidR="009C15AD" w:rsidRDefault="009C15AD" w:rsidP="009C1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bookmarkStart w:id="0" w:name="актуальность_исследования"/>
      <w:r w:rsidRPr="009C15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ВОЗМОЖНОСТИ ТУРИСТСКО-РЕКРЕАЦИОННОГО КОМПЛЕКСА РЕСПУБЛИКИ АДЫГЕЯ ДЛЯ СОЗДАНИЯ НОВОГО ТЕМАТИЧЕСКОГО ПАРКА</w:t>
      </w:r>
    </w:p>
    <w:p w14:paraId="1B11F0D1" w14:textId="77777777" w:rsidR="009C15AD" w:rsidRPr="009C15AD" w:rsidRDefault="009C15AD" w:rsidP="009C15AD">
      <w:pPr>
        <w:spacing w:after="0" w:line="240" w:lineRule="auto"/>
        <w:jc w:val="center"/>
        <w:rPr>
          <w:rFonts w:ascii="Times New Roman" w:eastAsia="Georgia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7E5A563" w14:textId="77777777" w:rsidR="009C15AD" w:rsidRPr="009C15AD" w:rsidRDefault="009C15AD" w:rsidP="009C15A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</w:pPr>
      <w:proofErr w:type="spellStart"/>
      <w:r w:rsidRPr="009C15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Абреч</w:t>
      </w:r>
      <w:proofErr w:type="spellEnd"/>
      <w:r w:rsidRPr="009C15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Джульетта Руслановна</w:t>
      </w:r>
    </w:p>
    <w:p w14:paraId="500692DE" w14:textId="77777777" w:rsidR="009C15AD" w:rsidRPr="00110D6B" w:rsidRDefault="009C15AD" w:rsidP="009C15AD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Адыгейский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государственный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университет»,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г.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Майкоп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</w:p>
    <w:p w14:paraId="273D2890" w14:textId="77777777" w:rsidR="009C15AD" w:rsidRPr="00110D6B" w:rsidRDefault="009C15AD" w:rsidP="009C15AD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Научный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руководитель: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Ожева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С.Б.,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к.с.н</w:t>
      </w:r>
      <w:proofErr w:type="spellEnd"/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.,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доцент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</w:p>
    <w:p w14:paraId="7049F4F3" w14:textId="77777777" w:rsidR="009C15AD" w:rsidRDefault="009C15AD" w:rsidP="009C15AD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Адыгейский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государственный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университет»,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г.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110D6B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Майкоп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</w:p>
    <w:p w14:paraId="4A5EC547" w14:textId="49A1311B" w:rsidR="009C15AD" w:rsidRPr="009C15AD" w:rsidRDefault="009C15AD" w:rsidP="009C15A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C15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14:paraId="605197CE" w14:textId="345F27E8" w:rsidR="003E7F0E" w:rsidRPr="00A34A55" w:rsidRDefault="00FE345A" w:rsidP="00413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Актуальность исследования</w:t>
      </w:r>
      <w:bookmarkEnd w:id="0"/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Туристско‑рекреационный комплекс Республики Адыгея традиционно ассоции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руется с горными и предгорными территориями (</w:t>
      </w:r>
      <w:proofErr w:type="spellStart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Лаго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накское</w:t>
      </w:r>
      <w:proofErr w:type="spellEnd"/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нагорье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, 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Кавказский биосферный заповедник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, 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водопады, ущелья, </w:t>
      </w:r>
      <w:proofErr w:type="spellStart"/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коньоны</w:t>
      </w:r>
      <w:proofErr w:type="spellEnd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и горные тропы), где сосредоточена основная масса туристских объектов и 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туристской 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инфраструктуры. В то же время равнинная часть республики остаётся относительно </w:t>
      </w:r>
      <w:proofErr w:type="spellStart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недозагруженной</w:t>
      </w:r>
      <w:proofErr w:type="spellEnd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в турис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тском плане, несмотря на наличие благоприятных климатических условий, развитой транспортной сети и приграничного положения, что делает её перспективной площадкой для нового типа рекреационных объектов — тематических парков</w:t>
      </w:r>
      <w:r w:rsidR="00A34A5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</w:t>
      </w:r>
      <w:r w:rsidR="00A34A55" w:rsidRPr="00A34A5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[</w:t>
      </w:r>
      <w:r w:rsidR="00860645"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1, 4</w:t>
      </w:r>
      <w:r w:rsidR="00A34A55" w:rsidRPr="00A34A5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].</w:t>
      </w:r>
    </w:p>
    <w:p w14:paraId="35399D0B" w14:textId="275458C8" w:rsidR="003E7F0E" w:rsidRPr="00413997" w:rsidRDefault="00FE345A" w:rsidP="00413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Актуальность темы усиливается в контексте региональной политики развития событийного и семейного туризма, расширения </w:t>
      </w:r>
      <w:proofErr w:type="spellStart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всесезонности</w:t>
      </w:r>
      <w:proofErr w:type="spellEnd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и диверсификации предложений за пределами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горной зоны. Создание тематического парка в равнинной части может стать элементом сбалансированного территориального развития </w:t>
      </w:r>
      <w:r w:rsidR="00860645"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туристско‑рекреационного комплекса 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Адыгеи и снизить нагрузку на экосистемы горных и предгорных территорий</w:t>
      </w:r>
      <w:r w:rsidR="00860645"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[2]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.</w:t>
      </w:r>
      <w:bookmarkStart w:id="1" w:name="fnref5"/>
      <w:bookmarkEnd w:id="1"/>
      <w:r w:rsidR="00860645" w:rsidRPr="004139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866F79" w14:textId="744558AE" w:rsidR="003E7F0E" w:rsidRPr="00860645" w:rsidRDefault="00FE345A" w:rsidP="00413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Целью исследования является выявление и систематизация возможностей туристско‑рекреационного комплекса Республики Адыгея для размещения и функционирования нового тематического парка в равнинной части ре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гиона, а также определение базовых условий его успешной интеграции в региональную туристическую систему.</w:t>
      </w:r>
      <w:bookmarkStart w:id="2" w:name="fnref2_3"/>
      <w:bookmarkEnd w:id="2"/>
      <w:r w:rsidR="00860645" w:rsidRPr="00860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6F62CC" w14:textId="6DD50A8B" w:rsidR="003E7F0E" w:rsidRPr="00860645" w:rsidRDefault="00FE345A" w:rsidP="00413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Для достижения цели 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нами были решены </w:t>
      </w:r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следующие задачи:</w:t>
      </w:r>
    </w:p>
    <w:p w14:paraId="6F2E3740" w14:textId="66B3740C" w:rsidR="003E7F0E" w:rsidRPr="00413997" w:rsidRDefault="00860645" w:rsidP="0086064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д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ана характеристика</w:t>
      </w:r>
      <w:r w:rsidR="00FE345A"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</w:t>
      </w:r>
      <w:r w:rsidR="00FE345A"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ресурсн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ой</w:t>
      </w:r>
      <w:r w:rsidR="00FE345A"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баз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ы</w:t>
      </w:r>
      <w:r w:rsidR="00FE345A"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и структур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е</w:t>
      </w:r>
      <w:r w:rsidR="00FE345A"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туристско‑рекреационного комплекса Адыгеи с акцентом на равнинные территории;</w:t>
      </w:r>
      <w:bookmarkStart w:id="3" w:name="fnref1_4"/>
      <w:bookmarkEnd w:id="3"/>
      <w:r w:rsidRPr="004139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0A77ED" w14:textId="4A9FD527" w:rsidR="003E7F0E" w:rsidRPr="00413997" w:rsidRDefault="00FE345A" w:rsidP="0086064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выяв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лены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преимущества создания тематического парка в равнинной части (климат, транспортная дос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тупность, близость к крупным населённым пунктам и курортным центрам);</w:t>
      </w:r>
      <w:bookmarkStart w:id="4" w:name="fnref6"/>
      <w:bookmarkEnd w:id="4"/>
      <w:r w:rsidR="00860645" w:rsidRPr="004139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5DF243" w14:textId="77777777" w:rsidR="00860645" w:rsidRPr="00860645" w:rsidRDefault="00FE345A" w:rsidP="0086064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проанализирова</w:t>
      </w:r>
      <w:r w:rsidR="00413997"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ны</w:t>
      </w:r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уже реализуемые и планируемые рекреационные проекты (</w:t>
      </w:r>
      <w:proofErr w:type="spellStart"/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этнопарки</w:t>
      </w:r>
      <w:proofErr w:type="spellEnd"/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экотропы</w:t>
      </w:r>
      <w:proofErr w:type="spellEnd"/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, парковые</w:t>
      </w:r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зоны, городские </w:t>
      </w:r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lastRenderedPageBreak/>
        <w:t>парки‑рекреационные зоны) как аналоги и точки опоры для нового тематического парка;</w:t>
      </w:r>
      <w:bookmarkStart w:id="5" w:name="fnref7"/>
      <w:bookmarkEnd w:id="5"/>
    </w:p>
    <w:p w14:paraId="2A71A088" w14:textId="46D31AAE" w:rsidR="003E7F0E" w:rsidRPr="00FE345A" w:rsidRDefault="00FE345A" w:rsidP="0086064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сформулирова</w:t>
      </w:r>
      <w:r w:rsidR="00413997"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ны</w:t>
      </w:r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рекомендации по типологии, целевой аудитории и функциональному наполнению тематического парка, ориентированного на семейный, образовательный и событийный туризм.</w:t>
      </w:r>
      <w:bookmarkStart w:id="6" w:name="fnref3_6"/>
      <w:bookmarkEnd w:id="6"/>
      <w:r w:rsidRPr="00FE3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450AFA" w14:textId="3F7008F6" w:rsidR="003E7F0E" w:rsidRPr="00413997" w:rsidRDefault="00413997" w:rsidP="00413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возможности_трк_адыгеи_для_темати_abaafa"/>
      <w:r>
        <w:rPr>
          <w:rFonts w:ascii="Times New Roman" w:hAnsi="Times New Roman" w:cs="Times New Roman"/>
          <w:noProof/>
          <w:sz w:val="28"/>
          <w:szCs w:val="28"/>
          <w:lang w:val="ru-RU"/>
        </w:rPr>
        <w:t>Результаты проведенного исследвоания позволили выявить в</w:t>
      </w:r>
      <w:r w:rsidR="00860645"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возможности</w:t>
      </w:r>
      <w:r w:rsid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развития 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туристско-рекреационного комплекса </w:t>
      </w:r>
      <w:r w:rsidR="00FE345A"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Адыгеи для тематического парка</w:t>
      </w:r>
      <w:bookmarkEnd w:id="7"/>
      <w:r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:</w:t>
      </w:r>
    </w:p>
    <w:p w14:paraId="51C30CE2" w14:textId="5C3D6E21" w:rsidR="003E7F0E" w:rsidRPr="00860645" w:rsidRDefault="00FE345A" w:rsidP="004139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Пространственно‑климатический потенциал равнинной части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Равнинная часть Адыгеи располагается в переходной зоне между горами и предгорьями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, имеет мягкий климат, большую часть года с комфортом для пешеходного и пляжного туризма, а также достаточную продолжительность безморозного периода для развития круглогодичного паркового отдыха. Наличие лесопарковых зон, пригородных и городских парков (на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пример, благоустраиваемые лесопарковые зоны в Адыгейске и Майкопе) показывает, что уже существуют элементы компактной рекреационной инфраструктуры, которые можно развивать в формате тематического парка.</w:t>
      </w:r>
      <w:bookmarkStart w:id="8" w:name="fnref6_2"/>
      <w:bookmarkEnd w:id="8"/>
      <w:r w:rsidR="00860645" w:rsidRPr="00860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D221E1" w14:textId="6E7E64F1" w:rsidR="003E7F0E" w:rsidRPr="00860645" w:rsidRDefault="00FE345A" w:rsidP="004139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Транспортная доступность и близость к рынкам спроса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Равнинная часть республики находится в радиусе 30–60 минут езды от крупнейших туристских центров региона (Майкоп, Адыгейск, Анапа, Краснодарский край по трассе М‑4), что 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обеспечивает высокую доступность для как местных, так и транзитных туристов. Это создаёт предпосылки для позиционирования тематического парка как «дополнительного» или «дочернего» объекта к основному горному туризму, а также как самостоятельного центра сем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ейного и дневного отдыха.</w:t>
      </w:r>
      <w:bookmarkStart w:id="9" w:name="fnref5_2"/>
      <w:bookmarkEnd w:id="9"/>
      <w:r w:rsidR="00860645" w:rsidRPr="00860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6A7E2C" w14:textId="71E45BEE" w:rsidR="003E7F0E" w:rsidRPr="00860645" w:rsidRDefault="00FE345A" w:rsidP="004139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Опыт реализации рекреационных и событийных проектов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В Адыгее уже реализуются масштабные рекреационные проекты (</w:t>
      </w:r>
      <w:proofErr w:type="spellStart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этнопарк</w:t>
      </w:r>
      <w:proofErr w:type="spellEnd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Дегуакская</w:t>
      </w:r>
      <w:proofErr w:type="spellEnd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поляна», </w:t>
      </w:r>
      <w:proofErr w:type="spellStart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эк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окурорт</w:t>
      </w:r>
      <w:proofErr w:type="spellEnd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Лагонаки</w:t>
      </w:r>
      <w:proofErr w:type="spellEnd"/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», благоустройство городских и пригородных парков) и активно развивается событийный туризм, включая фестивали, ярмарки и тематические мероприятия. Опыт этих проектов позволяет использовать готовые схемы управления потоками, организации инф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раструктуры и монетизации услуг (кафе, аренда, экскурсии, торговые точки) при проектировании тематического парка в равнинной части.</w:t>
      </w:r>
      <w:bookmarkStart w:id="10" w:name="fnref4_2"/>
      <w:bookmarkEnd w:id="10"/>
      <w:r w:rsidR="00860645" w:rsidRPr="00860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7711C3" w14:textId="19CD6293" w:rsidR="003E7F0E" w:rsidRPr="00860645" w:rsidRDefault="00FE345A" w:rsidP="004139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Свободные и малоосвоенные рекреационные площади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Рекреационное районирование территории республики отмечает, что в равнинной зоне значительные площади заняты сельхоз‑ и лесопарковыми угодьями, но при этом туристическая инфраструк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тура здесь развита слабее, чем в горах. Это создаёт возможность выбора площадок с минимальным уровнем конфликта с природоохранной и сельскохозяйственной деятельностью, при условии грамотного зонирования и экологического сопровождения.</w:t>
      </w:r>
      <w:bookmarkStart w:id="11" w:name="fnref2_7"/>
      <w:bookmarkEnd w:id="11"/>
      <w:r w:rsidR="00860645" w:rsidRPr="00860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F12D05" w14:textId="5F4841A8" w:rsidR="003E7F0E" w:rsidRPr="00860645" w:rsidRDefault="00FE345A" w:rsidP="0041399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lastRenderedPageBreak/>
        <w:t>Сочетание природных и культурных элементов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Равнинная часть Адыгеи дополняет горный туризм рядом уникальных объектов: лесопарковые массивы, долины рек, элементы историко‑культурного ландшафта (памятники архитектуры, святыни, музейные экспозиции на открытом воздухе). Тематический парк может использов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ать эти элементы, формируя сценарии типа «парк‑музей», «историко‑этнокультурный парк», «природно‑образовательный парк», что соответствует современным тенденциям экологического и инклюзивного туризма</w:t>
      </w:r>
      <w:r w:rsid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</w:t>
      </w:r>
      <w:r w:rsidR="00860645"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[</w:t>
      </w:r>
      <w:r w:rsid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1, 3, 4, 5</w:t>
      </w:r>
      <w:r w:rsidR="00860645"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]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.</w:t>
      </w:r>
      <w:bookmarkStart w:id="12" w:name="fnref7_1"/>
      <w:bookmarkEnd w:id="12"/>
      <w:r w:rsidR="00860645" w:rsidRPr="00860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C9E094" w14:textId="64304919" w:rsidR="00413997" w:rsidRPr="00413997" w:rsidRDefault="00413997" w:rsidP="00413997">
      <w:pPr>
        <w:spacing w:after="0" w:line="240" w:lineRule="auto"/>
        <w:ind w:left="709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Таким образом можно сделать следующие выводы:</w:t>
      </w:r>
    </w:p>
    <w:p w14:paraId="37D36783" w14:textId="46C50F37" w:rsidR="003E7F0E" w:rsidRPr="00860645" w:rsidRDefault="00FE345A" w:rsidP="00413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Т</w:t>
      </w:r>
      <w:r w:rsid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уристско-рекреационный комплекс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Адыгеи имеет неиспользованный потенциал для развития рекреационных объектов в равн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инной части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, где сочетаются благоприятный климат, транспортная доступность и относительно низкая концентрация крупных туристских объектов. Создание тематического парка в этой зоне может способствовать сбалансированному распределению туристских потоков межд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у горной и равнинной территорией.</w:t>
      </w:r>
      <w:bookmarkStart w:id="13" w:name="fnref3_10"/>
      <w:bookmarkEnd w:id="13"/>
      <w:r w:rsidR="00860645" w:rsidRPr="00860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36D2DF" w14:textId="3FB22212" w:rsidR="003E7F0E" w:rsidRPr="00860645" w:rsidRDefault="00FE345A" w:rsidP="00413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Наличие уже благоустраиваемых лесопарковых и городских рекреационных зон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(Майкоп, Адыгейск и др.) даёт возможность использовать существующую инфраструктуру и институциональные практики для быстрого запуска и модернизации тематического парка. Это позволяет 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снизить первоначальные капитальные затраты и использовать принцип «точечного развития» уже освоенных пространств.</w:t>
      </w:r>
      <w:bookmarkStart w:id="14" w:name="fnref5_5"/>
      <w:bookmarkEnd w:id="14"/>
      <w:r w:rsidR="00860645" w:rsidRPr="00860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449D64" w14:textId="4F4B0023" w:rsidR="003E7F0E" w:rsidRPr="00860645" w:rsidRDefault="00FE345A" w:rsidP="00413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Тематический парк в равнинной части целесообразно ориен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тировать на семейный, образовательный и событийный туризм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, сочетая элементы экологического просвещения, развлекательно‑игровых площадок и культурно‑исторического контента. Такой формат будет органично дополнять действующие горные проекты и расширять сезонн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ость регионального туризма.</w:t>
      </w:r>
      <w:bookmarkStart w:id="15" w:name="fnref4_3"/>
      <w:bookmarkEnd w:id="15"/>
      <w:r w:rsidR="00860645" w:rsidRPr="00860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56B9C8" w14:textId="77777777" w:rsidR="003E7F0E" w:rsidRPr="00413997" w:rsidRDefault="00FE345A" w:rsidP="00413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Для успешной реализации проекта требуется комплексный подход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:</w:t>
      </w:r>
    </w:p>
    <w:p w14:paraId="4721E6D4" w14:textId="77777777" w:rsidR="003E7F0E" w:rsidRPr="00413997" w:rsidRDefault="00FE345A" w:rsidP="0041399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рекреационное и экологическое обоснование выбора п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лощадки;</w:t>
      </w:r>
    </w:p>
    <w:p w14:paraId="7AA11D31" w14:textId="77777777" w:rsidR="003E7F0E" w:rsidRPr="00413997" w:rsidRDefault="00FE345A" w:rsidP="0041399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интеграция с региональными маршрутами и цифровыми сервисами (онлайн‑бронирование, навигация, пакетные туры);</w:t>
      </w:r>
    </w:p>
    <w:p w14:paraId="11E9DA43" w14:textId="14AA4FAC" w:rsidR="003E7F0E" w:rsidRPr="00860645" w:rsidRDefault="00FE345A" w:rsidP="0041399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привлечение инвесторов и местных предприятий через режим «масштабного инвестпроекта» или аналогичные механизмы стимулирования</w:t>
      </w:r>
      <w:r w:rsid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</w:t>
      </w:r>
      <w:r w:rsidR="00860645"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[</w:t>
      </w:r>
      <w:r w:rsid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1, 2, 3</w:t>
      </w:r>
      <w:r w:rsidR="00860645"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]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.</w:t>
      </w:r>
      <w:bookmarkStart w:id="16" w:name="fnref8"/>
      <w:bookmarkEnd w:id="16"/>
      <w:r w:rsidR="00860645" w:rsidRPr="00860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D117F2" w14:textId="6763EB54" w:rsidR="00413997" w:rsidRPr="00413997" w:rsidRDefault="00413997" w:rsidP="004139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7251E"/>
          <w:sz w:val="28"/>
          <w:szCs w:val="28"/>
          <w:lang w:val="ru-RU"/>
        </w:rPr>
      </w:pPr>
      <w:r w:rsidRPr="00413997">
        <w:rPr>
          <w:rFonts w:ascii="Times New Roman" w:hAnsi="Times New Roman" w:cs="Times New Roman"/>
          <w:color w:val="27251E"/>
          <w:sz w:val="28"/>
          <w:szCs w:val="28"/>
          <w:lang w:val="ru-RU"/>
        </w:rPr>
        <w:t xml:space="preserve">В равнинной части Республики Адыгея тематический парк можно привязать к нескольким устойчивым и </w:t>
      </w:r>
      <w:r w:rsidR="00860645">
        <w:rPr>
          <w:rFonts w:ascii="Times New Roman" w:hAnsi="Times New Roman" w:cs="Times New Roman"/>
          <w:color w:val="27251E"/>
          <w:sz w:val="28"/>
          <w:szCs w:val="28"/>
          <w:lang w:val="ru-RU"/>
        </w:rPr>
        <w:t>востребованным</w:t>
      </w:r>
      <w:r w:rsidRPr="00413997">
        <w:rPr>
          <w:rFonts w:ascii="Times New Roman" w:hAnsi="Times New Roman" w:cs="Times New Roman"/>
          <w:color w:val="27251E"/>
          <w:sz w:val="28"/>
          <w:szCs w:val="28"/>
          <w:lang w:val="ru-RU"/>
        </w:rPr>
        <w:t xml:space="preserve"> в регионе смысловым осям, которые сочетают природу, культуру, здоровье и образовательные элементы.</w:t>
      </w:r>
      <w:r>
        <w:rPr>
          <w:rFonts w:ascii="Times New Roman" w:hAnsi="Times New Roman" w:cs="Times New Roman"/>
          <w:color w:val="27251E"/>
          <w:sz w:val="28"/>
          <w:szCs w:val="28"/>
          <w:lang w:val="ru-RU"/>
        </w:rPr>
        <w:t xml:space="preserve"> Нами предложены следующие варианты проектов тематических парков:</w:t>
      </w:r>
    </w:p>
    <w:p w14:paraId="64B06E9B" w14:textId="7F47F471" w:rsidR="00413997" w:rsidRPr="00413997" w:rsidRDefault="00413997" w:rsidP="0041399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27251E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7251E"/>
          <w:sz w:val="28"/>
          <w:szCs w:val="28"/>
          <w:lang w:val="ru-RU" w:eastAsia="ru-RU"/>
        </w:rPr>
        <w:lastRenderedPageBreak/>
        <w:t>1.</w:t>
      </w:r>
      <w:r w:rsidRPr="00413997">
        <w:rPr>
          <w:rFonts w:ascii="Times New Roman" w:eastAsia="Times New Roman" w:hAnsi="Times New Roman" w:cs="Times New Roman"/>
          <w:color w:val="27251E"/>
          <w:sz w:val="28"/>
          <w:szCs w:val="28"/>
          <w:lang w:val="ru-RU" w:eastAsia="ru-RU"/>
        </w:rPr>
        <w:t xml:space="preserve"> </w:t>
      </w:r>
      <w:proofErr w:type="spellStart"/>
      <w:r w:rsidRPr="00413997">
        <w:rPr>
          <w:rFonts w:ascii="Times New Roman" w:eastAsia="Times New Roman" w:hAnsi="Times New Roman" w:cs="Times New Roman"/>
          <w:color w:val="27251E"/>
          <w:sz w:val="28"/>
          <w:szCs w:val="28"/>
          <w:lang w:val="ru-RU" w:eastAsia="ru-RU"/>
        </w:rPr>
        <w:t>Агротуристский</w:t>
      </w:r>
      <w:proofErr w:type="spellEnd"/>
      <w:r w:rsidRPr="00413997">
        <w:rPr>
          <w:rFonts w:ascii="Times New Roman" w:eastAsia="Times New Roman" w:hAnsi="Times New Roman" w:cs="Times New Roman"/>
          <w:color w:val="27251E"/>
          <w:sz w:val="28"/>
          <w:szCs w:val="28"/>
          <w:lang w:val="ru-RU" w:eastAsia="ru-RU"/>
        </w:rPr>
        <w:noBreakHyphen/>
        <w:t>гастрономический парк «Вкус</w:t>
      </w:r>
      <w:r w:rsidR="00860645">
        <w:rPr>
          <w:rFonts w:ascii="Times New Roman" w:eastAsia="Times New Roman" w:hAnsi="Times New Roman" w:cs="Times New Roman"/>
          <w:color w:val="27251E"/>
          <w:sz w:val="28"/>
          <w:szCs w:val="28"/>
          <w:lang w:val="ru-RU" w:eastAsia="ru-RU"/>
        </w:rPr>
        <w:t>ы</w:t>
      </w:r>
      <w:r w:rsidRPr="00413997">
        <w:rPr>
          <w:rFonts w:ascii="Times New Roman" w:eastAsia="Times New Roman" w:hAnsi="Times New Roman" w:cs="Times New Roman"/>
          <w:color w:val="27251E"/>
          <w:sz w:val="28"/>
          <w:szCs w:val="28"/>
          <w:lang w:val="ru-RU" w:eastAsia="ru-RU"/>
        </w:rPr>
        <w:t xml:space="preserve"> Адыгеи»</w:t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val="ru-RU" w:eastAsia="ru-RU"/>
        </w:rPr>
        <w:t xml:space="preserve"> - </w:t>
      </w:r>
      <w:r w:rsidRPr="00413997">
        <w:rPr>
          <w:rFonts w:ascii="Times New Roman" w:eastAsia="Times New Roman" w:hAnsi="Times New Roman" w:cs="Times New Roman"/>
          <w:color w:val="27251E"/>
          <w:sz w:val="28"/>
          <w:szCs w:val="28"/>
          <w:lang w:val="ru-RU" w:eastAsia="ru-RU"/>
        </w:rPr>
        <w:t xml:space="preserve">связь с агропроизводством и гастрономией — молочные продукты, </w:t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val="ru-RU" w:eastAsia="ru-RU"/>
        </w:rPr>
        <w:t>адыгейский сыр,</w:t>
      </w:r>
      <w:r w:rsidRPr="00413997">
        <w:rPr>
          <w:rFonts w:ascii="Times New Roman" w:eastAsia="Times New Roman" w:hAnsi="Times New Roman" w:cs="Times New Roman"/>
          <w:color w:val="27251E"/>
          <w:sz w:val="28"/>
          <w:szCs w:val="28"/>
          <w:lang w:val="ru-RU" w:eastAsia="ru-RU"/>
        </w:rPr>
        <w:t xml:space="preserve"> кукуруза, местные овощи и </w:t>
      </w:r>
      <w:r>
        <w:rPr>
          <w:rFonts w:ascii="Times New Roman" w:eastAsia="Times New Roman" w:hAnsi="Times New Roman" w:cs="Times New Roman"/>
          <w:color w:val="27251E"/>
          <w:sz w:val="28"/>
          <w:szCs w:val="28"/>
          <w:lang w:val="ru-RU" w:eastAsia="ru-RU"/>
        </w:rPr>
        <w:t>приправы.</w:t>
      </w:r>
    </w:p>
    <w:p w14:paraId="3172F601" w14:textId="48269439" w:rsidR="00413997" w:rsidRPr="00413997" w:rsidRDefault="00413997" w:rsidP="00413997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color w:val="27251E"/>
          <w:sz w:val="28"/>
          <w:szCs w:val="28"/>
        </w:rPr>
      </w:pPr>
      <w:r>
        <w:rPr>
          <w:b w:val="0"/>
          <w:bCs w:val="0"/>
          <w:color w:val="27251E"/>
          <w:sz w:val="28"/>
          <w:szCs w:val="28"/>
        </w:rPr>
        <w:t>2</w:t>
      </w:r>
      <w:r w:rsidRPr="00413997">
        <w:rPr>
          <w:b w:val="0"/>
          <w:bCs w:val="0"/>
          <w:color w:val="27251E"/>
          <w:sz w:val="28"/>
          <w:szCs w:val="28"/>
        </w:rPr>
        <w:t>. Семейно</w:t>
      </w:r>
      <w:r w:rsidRPr="00413997">
        <w:rPr>
          <w:b w:val="0"/>
          <w:bCs w:val="0"/>
          <w:color w:val="27251E"/>
          <w:sz w:val="28"/>
          <w:szCs w:val="28"/>
        </w:rPr>
        <w:noBreakHyphen/>
        <w:t>развлекательный парк с природным акцентом («парк</w:t>
      </w:r>
      <w:r w:rsidRPr="00413997">
        <w:rPr>
          <w:b w:val="0"/>
          <w:bCs w:val="0"/>
          <w:color w:val="27251E"/>
          <w:sz w:val="28"/>
          <w:szCs w:val="28"/>
        </w:rPr>
        <w:noBreakHyphen/>
        <w:t>лес»)</w:t>
      </w:r>
      <w:r>
        <w:rPr>
          <w:b w:val="0"/>
          <w:bCs w:val="0"/>
          <w:color w:val="27251E"/>
          <w:sz w:val="28"/>
          <w:szCs w:val="28"/>
        </w:rPr>
        <w:t xml:space="preserve">- </w:t>
      </w:r>
      <w:r w:rsidRPr="00413997">
        <w:rPr>
          <w:b w:val="0"/>
          <w:bCs w:val="0"/>
          <w:color w:val="27251E"/>
          <w:sz w:val="28"/>
          <w:szCs w:val="28"/>
        </w:rPr>
        <w:t>безопасный, комфортный семейный отдых с элементами «мягкого» приключения и природы.</w:t>
      </w:r>
    </w:p>
    <w:p w14:paraId="536700C0" w14:textId="7F584A46" w:rsidR="003E7F0E" w:rsidRPr="00860645" w:rsidRDefault="00FE345A" w:rsidP="00413997">
      <w:pPr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8"/>
          <w:szCs w:val="28"/>
          <w:u w:val="single"/>
          <w:vertAlign w:val="superscript"/>
          <w:lang w:val="ru-RU"/>
        </w:rPr>
      </w:pP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Таким образом, туристско‑рекреационный комплекс Республики Адыгея предоставляет объективные предпосылки для создания нового тематического парка в равнинных районах, который может с</w:t>
      </w:r>
      <w:r w:rsidRPr="00413997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тать важным элементом территориально сбалансированной, всесезонной и событийно ориентированной туристской системы региона.</w:t>
      </w:r>
      <w:bookmarkStart w:id="17" w:name="fnref1_12"/>
      <w:bookmarkEnd w:id="17"/>
      <w:r w:rsidR="00860645" w:rsidRPr="00860645">
        <w:rPr>
          <w:rFonts w:ascii="Times New Roman" w:eastAsia="Helvetica Neue" w:hAnsi="Times New Roman" w:cs="Times New Roman"/>
          <w:sz w:val="28"/>
          <w:szCs w:val="28"/>
          <w:u w:val="single"/>
          <w:vertAlign w:val="superscript"/>
          <w:lang w:val="ru-RU"/>
        </w:rPr>
        <w:t xml:space="preserve"> </w:t>
      </w:r>
    </w:p>
    <w:p w14:paraId="15492A1E" w14:textId="32E16AB6" w:rsidR="0052019F" w:rsidRPr="00860645" w:rsidRDefault="0052019F" w:rsidP="00413997">
      <w:pPr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8"/>
          <w:szCs w:val="28"/>
          <w:u w:val="single"/>
          <w:vertAlign w:val="superscript"/>
          <w:lang w:val="ru-RU"/>
        </w:rPr>
      </w:pPr>
    </w:p>
    <w:p w14:paraId="5DE8705A" w14:textId="56723633" w:rsidR="0052019F" w:rsidRDefault="0052019F" w:rsidP="0052019F">
      <w:pPr>
        <w:spacing w:after="0" w:line="240" w:lineRule="auto"/>
        <w:ind w:firstLine="567"/>
        <w:jc w:val="center"/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</w:pPr>
      <w:r w:rsidRPr="00110D6B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Список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0D6B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литературы:</w:t>
      </w:r>
    </w:p>
    <w:p w14:paraId="57D20853" w14:textId="03A5F387" w:rsidR="004342D0" w:rsidRPr="00860645" w:rsidRDefault="004342D0" w:rsidP="00F21DC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</w:pP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О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рекреационном потенциале региона и инвестиционных проектах</w:t>
      </w:r>
      <w:r w:rsidR="00860645"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. -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60645">
        <w:rPr>
          <w:rFonts w:ascii="Times New Roman" w:eastAsia="Georgia" w:hAnsi="Times New Roman" w:cs="Times New Roman"/>
          <w:color w:val="000000"/>
          <w:sz w:val="28"/>
          <w:szCs w:val="28"/>
        </w:rPr>
        <w:t>URL</w:t>
      </w:r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860645">
        <w:rPr>
          <w:rFonts w:ascii="Times New Roman" w:eastAsia="Georgia" w:hAnsi="Times New Roman" w:cs="Times New Roman"/>
          <w:color w:val="000000"/>
          <w:sz w:val="28"/>
          <w:szCs w:val="28"/>
        </w:rPr>
        <w:t>https</w:t>
      </w:r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://</w:t>
      </w:r>
      <w:r w:rsidRPr="00860645">
        <w:rPr>
          <w:rFonts w:ascii="Times New Roman" w:eastAsia="Georgia" w:hAnsi="Times New Roman" w:cs="Times New Roman"/>
          <w:color w:val="000000"/>
          <w:sz w:val="28"/>
          <w:szCs w:val="28"/>
        </w:rPr>
        <w:t>www</w:t>
      </w:r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860645">
        <w:rPr>
          <w:rFonts w:ascii="Times New Roman" w:eastAsia="Georgia" w:hAnsi="Times New Roman" w:cs="Times New Roman"/>
          <w:color w:val="000000"/>
          <w:sz w:val="28"/>
          <w:szCs w:val="28"/>
        </w:rPr>
        <w:t>kommersant</w:t>
      </w:r>
      <w:proofErr w:type="spellEnd"/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860645">
        <w:rPr>
          <w:rFonts w:ascii="Times New Roman" w:eastAsia="Georgia" w:hAnsi="Times New Roman" w:cs="Times New Roman"/>
          <w:color w:val="000000"/>
          <w:sz w:val="28"/>
          <w:szCs w:val="28"/>
        </w:rPr>
        <w:t>ru</w:t>
      </w:r>
      <w:proofErr w:type="spellEnd"/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/</w:t>
      </w:r>
      <w:r w:rsidRPr="00860645">
        <w:rPr>
          <w:rFonts w:ascii="Times New Roman" w:eastAsia="Georgia" w:hAnsi="Times New Roman" w:cs="Times New Roman"/>
          <w:color w:val="000000"/>
          <w:sz w:val="28"/>
          <w:szCs w:val="28"/>
        </w:rPr>
        <w:t>doc</w:t>
      </w:r>
      <w:r w:rsidRP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/6309380</w:t>
      </w:r>
    </w:p>
    <w:p w14:paraId="2F962E65" w14:textId="77777777" w:rsidR="004342D0" w:rsidRPr="004342D0" w:rsidRDefault="004342D0" w:rsidP="00A34A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</w:pP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Ожева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,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С.Б. Перспективы развития тематического туризма в Республике Адыгея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/ С. Б. Ожева // </w:t>
      </w:r>
      <w:hyperlink r:id="rId5" w:history="1">
        <w:r>
          <w:rPr>
            <w:rFonts w:ascii="Times New Roman" w:eastAsia="Georgia" w:hAnsi="Times New Roman" w:cs="Times New Roman"/>
            <w:color w:val="000000"/>
            <w:sz w:val="28"/>
            <w:szCs w:val="28"/>
            <w:lang w:val="ru-RU"/>
          </w:rPr>
          <w:t>П</w:t>
        </w:r>
        <w:r w:rsidRPr="004342D0">
          <w:rPr>
            <w:rFonts w:ascii="Times New Roman" w:eastAsia="Georgia" w:hAnsi="Times New Roman" w:cs="Times New Roman"/>
            <w:color w:val="000000"/>
            <w:sz w:val="28"/>
            <w:szCs w:val="28"/>
            <w:lang w:val="ru-RU"/>
          </w:rPr>
          <w:t>роблемы и перспективы социально-экономического развития регионов Юга России</w:t>
        </w:r>
      </w:hyperlink>
      <w:r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.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Сборник научных трудов по материалам IX Всероссийской научно-практической конференции. Майкоп, 2024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. -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URL: 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https://www.elibrary.ru/download/elibrary_80460874_92156808.pdf</w:t>
      </w:r>
    </w:p>
    <w:p w14:paraId="2F7EB527" w14:textId="7CF2B646" w:rsidR="004342D0" w:rsidRPr="004342D0" w:rsidRDefault="004342D0" w:rsidP="00A34A55">
      <w:pPr>
        <w:pStyle w:val="1"/>
        <w:numPr>
          <w:ilvl w:val="0"/>
          <w:numId w:val="10"/>
        </w:numPr>
        <w:shd w:val="clear" w:color="auto" w:fill="FFFFFF"/>
        <w:spacing w:before="0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</w:pP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Рекреационные ресурсы Республики Адыгея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. </w:t>
      </w:r>
      <w:r w:rsidR="00A34A55" w:rsidRPr="00A34A5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URL: </w:t>
      </w:r>
      <w:hyperlink r:id="rId6" w:history="1">
        <w:r w:rsidRPr="004342D0">
          <w:rPr>
            <w:rFonts w:ascii="Times New Roman" w:eastAsia="Georgia" w:hAnsi="Times New Roman" w:cs="Times New Roman"/>
            <w:color w:val="000000"/>
            <w:sz w:val="28"/>
            <w:szCs w:val="28"/>
            <w:lang w:val="ru-RU"/>
          </w:rPr>
          <w:t>https://svastour.r</w:t>
        </w:r>
        <w:r w:rsidRPr="004342D0">
          <w:rPr>
            <w:rFonts w:ascii="Times New Roman" w:eastAsia="Georgia" w:hAnsi="Times New Roman" w:cs="Times New Roman"/>
            <w:color w:val="000000"/>
            <w:sz w:val="28"/>
            <w:szCs w:val="28"/>
            <w:lang w:val="ru-RU"/>
          </w:rPr>
          <w:t>u</w:t>
        </w:r>
        <w:r w:rsidRPr="004342D0">
          <w:rPr>
            <w:rFonts w:ascii="Times New Roman" w:eastAsia="Georgia" w:hAnsi="Times New Roman" w:cs="Times New Roman"/>
            <w:color w:val="000000"/>
            <w:sz w:val="28"/>
            <w:szCs w:val="28"/>
            <w:lang w:val="ru-RU"/>
          </w:rPr>
          <w:t>/uaz/turvozmozhnosti-adygei.php</w:t>
        </w:r>
      </w:hyperlink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AF8788E" w14:textId="06478A67" w:rsidR="004342D0" w:rsidRDefault="004342D0" w:rsidP="00A34A5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</w:pPr>
      <w:proofErr w:type="spellStart"/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Штельмах</w:t>
      </w:r>
      <w:proofErr w:type="spellEnd"/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,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Е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П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.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Рекреационное районирование республики Адыгея на геоинформационной основе </w:t>
      </w:r>
      <w:r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/ Е. П. </w:t>
      </w:r>
      <w:proofErr w:type="spellStart"/>
      <w:r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Штельмах</w:t>
      </w:r>
      <w:proofErr w:type="spellEnd"/>
      <w:r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// Вестник Адыгейского государственного университета. Серия 4: Естественно-математические и технические науки. 2013. №1 (116). 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URL: https://cyberleninka.ru/article/n/rekreatsionnoe-rayonirovanie-respubliki-adygeya-na-geoinformatsionnoy-osnove (дата обращения: 08.04.2026).</w:t>
      </w:r>
    </w:p>
    <w:p w14:paraId="19359BD5" w14:textId="117514A6" w:rsidR="004342D0" w:rsidRDefault="004342D0" w:rsidP="00A34A55">
      <w:pPr>
        <w:pStyle w:val="1"/>
        <w:numPr>
          <w:ilvl w:val="0"/>
          <w:numId w:val="10"/>
        </w:numPr>
        <w:shd w:val="clear" w:color="auto" w:fill="FFFFFF"/>
        <w:spacing w:before="0"/>
        <w:jc w:val="both"/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Э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тнопарк</w:t>
      </w:r>
      <w:proofErr w:type="spellEnd"/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Дегуакская</w:t>
      </w:r>
      <w:proofErr w:type="spellEnd"/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поляна»</w:t>
      </w:r>
      <w:r w:rsidR="00860645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. -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URL: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342D0">
        <w:rPr>
          <w:rFonts w:ascii="Times New Roman" w:eastAsia="Georgia" w:hAnsi="Times New Roman" w:cs="Times New Roman"/>
          <w:color w:val="000000"/>
          <w:sz w:val="28"/>
          <w:szCs w:val="28"/>
          <w:lang w:val="ru-RU"/>
        </w:rPr>
        <w:t>https://expertsouth.ru/news/investitsii-v-etnopark-deguakskaya-polyana-v-adygee-prevysyat-800-mln-rubley/</w:t>
      </w:r>
      <w:bookmarkStart w:id="18" w:name="fn1"/>
      <w:bookmarkStart w:id="19" w:name="fn7"/>
      <w:bookmarkStart w:id="20" w:name="fn9"/>
      <w:bookmarkStart w:id="21" w:name="fn10"/>
      <w:bookmarkEnd w:id="18"/>
      <w:bookmarkEnd w:id="19"/>
      <w:bookmarkEnd w:id="20"/>
      <w:bookmarkEnd w:id="21"/>
    </w:p>
    <w:sectPr w:rsidR="004342D0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75E"/>
    <w:multiLevelType w:val="hybridMultilevel"/>
    <w:tmpl w:val="3170E5A4"/>
    <w:lvl w:ilvl="0" w:tplc="51D8332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E912FD6C">
      <w:numFmt w:val="decimal"/>
      <w:lvlText w:val=""/>
      <w:lvlJc w:val="left"/>
    </w:lvl>
    <w:lvl w:ilvl="2" w:tplc="D480F2FE">
      <w:numFmt w:val="decimal"/>
      <w:lvlText w:val=""/>
      <w:lvlJc w:val="left"/>
    </w:lvl>
    <w:lvl w:ilvl="3" w:tplc="8EEA2660">
      <w:numFmt w:val="decimal"/>
      <w:lvlText w:val=""/>
      <w:lvlJc w:val="left"/>
    </w:lvl>
    <w:lvl w:ilvl="4" w:tplc="B916FABA">
      <w:numFmt w:val="decimal"/>
      <w:lvlText w:val=""/>
      <w:lvlJc w:val="left"/>
    </w:lvl>
    <w:lvl w:ilvl="5" w:tplc="34D0A0A6">
      <w:numFmt w:val="decimal"/>
      <w:lvlText w:val=""/>
      <w:lvlJc w:val="left"/>
    </w:lvl>
    <w:lvl w:ilvl="6" w:tplc="804EB3D6">
      <w:numFmt w:val="decimal"/>
      <w:lvlText w:val=""/>
      <w:lvlJc w:val="left"/>
    </w:lvl>
    <w:lvl w:ilvl="7" w:tplc="B31AA2CC">
      <w:numFmt w:val="decimal"/>
      <w:lvlText w:val=""/>
      <w:lvlJc w:val="left"/>
    </w:lvl>
    <w:lvl w:ilvl="8" w:tplc="0DFCEC20">
      <w:numFmt w:val="decimal"/>
      <w:lvlText w:val=""/>
      <w:lvlJc w:val="left"/>
    </w:lvl>
  </w:abstractNum>
  <w:abstractNum w:abstractNumId="1" w15:restartNumberingAfterBreak="0">
    <w:nsid w:val="0C763383"/>
    <w:multiLevelType w:val="hybridMultilevel"/>
    <w:tmpl w:val="CD027514"/>
    <w:lvl w:ilvl="0" w:tplc="3E00D618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9B836AC">
      <w:numFmt w:val="decimal"/>
      <w:lvlText w:val=""/>
      <w:lvlJc w:val="left"/>
    </w:lvl>
    <w:lvl w:ilvl="2" w:tplc="EAA2FD46">
      <w:numFmt w:val="decimal"/>
      <w:lvlText w:val=""/>
      <w:lvlJc w:val="left"/>
    </w:lvl>
    <w:lvl w:ilvl="3" w:tplc="0D8C0310">
      <w:numFmt w:val="decimal"/>
      <w:lvlText w:val=""/>
      <w:lvlJc w:val="left"/>
    </w:lvl>
    <w:lvl w:ilvl="4" w:tplc="F04C1ECA">
      <w:numFmt w:val="decimal"/>
      <w:lvlText w:val=""/>
      <w:lvlJc w:val="left"/>
    </w:lvl>
    <w:lvl w:ilvl="5" w:tplc="958ED062">
      <w:numFmt w:val="decimal"/>
      <w:lvlText w:val=""/>
      <w:lvlJc w:val="left"/>
    </w:lvl>
    <w:lvl w:ilvl="6" w:tplc="D486C594">
      <w:numFmt w:val="decimal"/>
      <w:lvlText w:val=""/>
      <w:lvlJc w:val="left"/>
    </w:lvl>
    <w:lvl w:ilvl="7" w:tplc="311C66F8">
      <w:numFmt w:val="decimal"/>
      <w:lvlText w:val=""/>
      <w:lvlJc w:val="left"/>
    </w:lvl>
    <w:lvl w:ilvl="8" w:tplc="D5603BFE">
      <w:numFmt w:val="decimal"/>
      <w:lvlText w:val=""/>
      <w:lvlJc w:val="left"/>
    </w:lvl>
  </w:abstractNum>
  <w:abstractNum w:abstractNumId="2" w15:restartNumberingAfterBreak="0">
    <w:nsid w:val="1CD673CE"/>
    <w:multiLevelType w:val="hybridMultilevel"/>
    <w:tmpl w:val="D1565814"/>
    <w:lvl w:ilvl="0" w:tplc="4940821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5986FCA">
      <w:numFmt w:val="decimal"/>
      <w:lvlText w:val=""/>
      <w:lvlJc w:val="left"/>
    </w:lvl>
    <w:lvl w:ilvl="2" w:tplc="03D2F024">
      <w:numFmt w:val="decimal"/>
      <w:lvlText w:val=""/>
      <w:lvlJc w:val="left"/>
    </w:lvl>
    <w:lvl w:ilvl="3" w:tplc="2D765B2A">
      <w:numFmt w:val="decimal"/>
      <w:lvlText w:val=""/>
      <w:lvlJc w:val="left"/>
    </w:lvl>
    <w:lvl w:ilvl="4" w:tplc="CBCCE5A8">
      <w:numFmt w:val="decimal"/>
      <w:lvlText w:val=""/>
      <w:lvlJc w:val="left"/>
    </w:lvl>
    <w:lvl w:ilvl="5" w:tplc="19AE9BC6">
      <w:numFmt w:val="decimal"/>
      <w:lvlText w:val=""/>
      <w:lvlJc w:val="left"/>
    </w:lvl>
    <w:lvl w:ilvl="6" w:tplc="9F981DF4">
      <w:numFmt w:val="decimal"/>
      <w:lvlText w:val=""/>
      <w:lvlJc w:val="left"/>
    </w:lvl>
    <w:lvl w:ilvl="7" w:tplc="6A4445CE">
      <w:numFmt w:val="decimal"/>
      <w:lvlText w:val=""/>
      <w:lvlJc w:val="left"/>
    </w:lvl>
    <w:lvl w:ilvl="8" w:tplc="57283018">
      <w:numFmt w:val="decimal"/>
      <w:lvlText w:val=""/>
      <w:lvlJc w:val="left"/>
    </w:lvl>
  </w:abstractNum>
  <w:abstractNum w:abstractNumId="3" w15:restartNumberingAfterBreak="0">
    <w:nsid w:val="2AD154C6"/>
    <w:multiLevelType w:val="hybridMultilevel"/>
    <w:tmpl w:val="FFE49D4A"/>
    <w:lvl w:ilvl="0" w:tplc="CA64DDC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7B3E6B82">
      <w:numFmt w:val="decimal"/>
      <w:lvlText w:val=""/>
      <w:lvlJc w:val="left"/>
    </w:lvl>
    <w:lvl w:ilvl="2" w:tplc="BB1A4F52">
      <w:numFmt w:val="decimal"/>
      <w:lvlText w:val=""/>
      <w:lvlJc w:val="left"/>
    </w:lvl>
    <w:lvl w:ilvl="3" w:tplc="755A7B36">
      <w:numFmt w:val="decimal"/>
      <w:lvlText w:val=""/>
      <w:lvlJc w:val="left"/>
    </w:lvl>
    <w:lvl w:ilvl="4" w:tplc="6374B3F4">
      <w:numFmt w:val="decimal"/>
      <w:lvlText w:val=""/>
      <w:lvlJc w:val="left"/>
    </w:lvl>
    <w:lvl w:ilvl="5" w:tplc="201AE65C">
      <w:numFmt w:val="decimal"/>
      <w:lvlText w:val=""/>
      <w:lvlJc w:val="left"/>
    </w:lvl>
    <w:lvl w:ilvl="6" w:tplc="E0885A8E">
      <w:numFmt w:val="decimal"/>
      <w:lvlText w:val=""/>
      <w:lvlJc w:val="left"/>
    </w:lvl>
    <w:lvl w:ilvl="7" w:tplc="94305FFC">
      <w:numFmt w:val="decimal"/>
      <w:lvlText w:val=""/>
      <w:lvlJc w:val="left"/>
    </w:lvl>
    <w:lvl w:ilvl="8" w:tplc="DAF21FDA">
      <w:numFmt w:val="decimal"/>
      <w:lvlText w:val=""/>
      <w:lvlJc w:val="left"/>
    </w:lvl>
  </w:abstractNum>
  <w:abstractNum w:abstractNumId="4" w15:restartNumberingAfterBreak="0">
    <w:nsid w:val="2CAB5CE2"/>
    <w:multiLevelType w:val="hybridMultilevel"/>
    <w:tmpl w:val="0AC20D44"/>
    <w:lvl w:ilvl="0" w:tplc="51D8332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7B1B"/>
    <w:multiLevelType w:val="hybridMultilevel"/>
    <w:tmpl w:val="2C8C56EC"/>
    <w:lvl w:ilvl="0" w:tplc="3238077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C9A1124">
      <w:numFmt w:val="decimal"/>
      <w:lvlText w:val=""/>
      <w:lvlJc w:val="left"/>
    </w:lvl>
    <w:lvl w:ilvl="2" w:tplc="0FE2B9CE">
      <w:numFmt w:val="decimal"/>
      <w:lvlText w:val=""/>
      <w:lvlJc w:val="left"/>
    </w:lvl>
    <w:lvl w:ilvl="3" w:tplc="A34403F6">
      <w:numFmt w:val="decimal"/>
      <w:lvlText w:val=""/>
      <w:lvlJc w:val="left"/>
    </w:lvl>
    <w:lvl w:ilvl="4" w:tplc="703ACB3E">
      <w:numFmt w:val="decimal"/>
      <w:lvlText w:val=""/>
      <w:lvlJc w:val="left"/>
    </w:lvl>
    <w:lvl w:ilvl="5" w:tplc="AB5A2016">
      <w:numFmt w:val="decimal"/>
      <w:lvlText w:val=""/>
      <w:lvlJc w:val="left"/>
    </w:lvl>
    <w:lvl w:ilvl="6" w:tplc="63788DD0">
      <w:numFmt w:val="decimal"/>
      <w:lvlText w:val=""/>
      <w:lvlJc w:val="left"/>
    </w:lvl>
    <w:lvl w:ilvl="7" w:tplc="D1146BBC">
      <w:numFmt w:val="decimal"/>
      <w:lvlText w:val=""/>
      <w:lvlJc w:val="left"/>
    </w:lvl>
    <w:lvl w:ilvl="8" w:tplc="73A6067C">
      <w:numFmt w:val="decimal"/>
      <w:lvlText w:val=""/>
      <w:lvlJc w:val="left"/>
    </w:lvl>
  </w:abstractNum>
  <w:abstractNum w:abstractNumId="6" w15:restartNumberingAfterBreak="0">
    <w:nsid w:val="41633D31"/>
    <w:multiLevelType w:val="hybridMultilevel"/>
    <w:tmpl w:val="6E529F38"/>
    <w:lvl w:ilvl="0" w:tplc="3E00D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B4337"/>
    <w:multiLevelType w:val="hybridMultilevel"/>
    <w:tmpl w:val="CDD85656"/>
    <w:lvl w:ilvl="0" w:tplc="3E00D618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5986FCA">
      <w:numFmt w:val="decimal"/>
      <w:lvlText w:val=""/>
      <w:lvlJc w:val="left"/>
    </w:lvl>
    <w:lvl w:ilvl="2" w:tplc="03D2F024">
      <w:numFmt w:val="decimal"/>
      <w:lvlText w:val=""/>
      <w:lvlJc w:val="left"/>
    </w:lvl>
    <w:lvl w:ilvl="3" w:tplc="2D765B2A">
      <w:numFmt w:val="decimal"/>
      <w:lvlText w:val=""/>
      <w:lvlJc w:val="left"/>
    </w:lvl>
    <w:lvl w:ilvl="4" w:tplc="CBCCE5A8">
      <w:numFmt w:val="decimal"/>
      <w:lvlText w:val=""/>
      <w:lvlJc w:val="left"/>
    </w:lvl>
    <w:lvl w:ilvl="5" w:tplc="19AE9BC6">
      <w:numFmt w:val="decimal"/>
      <w:lvlText w:val=""/>
      <w:lvlJc w:val="left"/>
    </w:lvl>
    <w:lvl w:ilvl="6" w:tplc="9F981DF4">
      <w:numFmt w:val="decimal"/>
      <w:lvlText w:val=""/>
      <w:lvlJc w:val="left"/>
    </w:lvl>
    <w:lvl w:ilvl="7" w:tplc="6A4445CE">
      <w:numFmt w:val="decimal"/>
      <w:lvlText w:val=""/>
      <w:lvlJc w:val="left"/>
    </w:lvl>
    <w:lvl w:ilvl="8" w:tplc="57283018">
      <w:numFmt w:val="decimal"/>
      <w:lvlText w:val=""/>
      <w:lvlJc w:val="left"/>
    </w:lvl>
  </w:abstractNum>
  <w:abstractNum w:abstractNumId="8" w15:restartNumberingAfterBreak="0">
    <w:nsid w:val="527C2E25"/>
    <w:multiLevelType w:val="multilevel"/>
    <w:tmpl w:val="F628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3E97A70"/>
    <w:multiLevelType w:val="hybridMultilevel"/>
    <w:tmpl w:val="CF7084FE"/>
    <w:lvl w:ilvl="0" w:tplc="6ACEF0F0">
      <w:numFmt w:val="decimal"/>
      <w:lvlText w:val=""/>
      <w:lvlJc w:val="left"/>
    </w:lvl>
    <w:lvl w:ilvl="1" w:tplc="BE94C68C">
      <w:numFmt w:val="decimal"/>
      <w:lvlText w:val=""/>
      <w:lvlJc w:val="left"/>
    </w:lvl>
    <w:lvl w:ilvl="2" w:tplc="986ABBDE">
      <w:numFmt w:val="decimal"/>
      <w:lvlText w:val=""/>
      <w:lvlJc w:val="left"/>
    </w:lvl>
    <w:lvl w:ilvl="3" w:tplc="DCF42C12">
      <w:numFmt w:val="decimal"/>
      <w:lvlText w:val=""/>
      <w:lvlJc w:val="left"/>
    </w:lvl>
    <w:lvl w:ilvl="4" w:tplc="1CC4CC4C">
      <w:numFmt w:val="decimal"/>
      <w:lvlText w:val=""/>
      <w:lvlJc w:val="left"/>
    </w:lvl>
    <w:lvl w:ilvl="5" w:tplc="F43E8CA0">
      <w:numFmt w:val="decimal"/>
      <w:lvlText w:val=""/>
      <w:lvlJc w:val="left"/>
    </w:lvl>
    <w:lvl w:ilvl="6" w:tplc="64F8DDC2">
      <w:numFmt w:val="decimal"/>
      <w:lvlText w:val=""/>
      <w:lvlJc w:val="left"/>
    </w:lvl>
    <w:lvl w:ilvl="7" w:tplc="0C185F80">
      <w:numFmt w:val="decimal"/>
      <w:lvlText w:val=""/>
      <w:lvlJc w:val="left"/>
    </w:lvl>
    <w:lvl w:ilvl="8" w:tplc="1720A254">
      <w:numFmt w:val="decimal"/>
      <w:lvlText w:val=""/>
      <w:lvlJc w:val="left"/>
    </w:lvl>
  </w:abstractNum>
  <w:abstractNum w:abstractNumId="10" w15:restartNumberingAfterBreak="0">
    <w:nsid w:val="7F55464C"/>
    <w:multiLevelType w:val="multilevel"/>
    <w:tmpl w:val="129E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FE72131"/>
    <w:multiLevelType w:val="hybridMultilevel"/>
    <w:tmpl w:val="1570C69E"/>
    <w:lvl w:ilvl="0" w:tplc="3892A69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9B836AC">
      <w:numFmt w:val="decimal"/>
      <w:lvlText w:val=""/>
      <w:lvlJc w:val="left"/>
    </w:lvl>
    <w:lvl w:ilvl="2" w:tplc="EAA2FD46">
      <w:numFmt w:val="decimal"/>
      <w:lvlText w:val=""/>
      <w:lvlJc w:val="left"/>
    </w:lvl>
    <w:lvl w:ilvl="3" w:tplc="0D8C0310">
      <w:numFmt w:val="decimal"/>
      <w:lvlText w:val=""/>
      <w:lvlJc w:val="left"/>
    </w:lvl>
    <w:lvl w:ilvl="4" w:tplc="F04C1ECA">
      <w:numFmt w:val="decimal"/>
      <w:lvlText w:val=""/>
      <w:lvlJc w:val="left"/>
    </w:lvl>
    <w:lvl w:ilvl="5" w:tplc="958ED062">
      <w:numFmt w:val="decimal"/>
      <w:lvlText w:val=""/>
      <w:lvlJc w:val="left"/>
    </w:lvl>
    <w:lvl w:ilvl="6" w:tplc="D486C594">
      <w:numFmt w:val="decimal"/>
      <w:lvlText w:val=""/>
      <w:lvlJc w:val="left"/>
    </w:lvl>
    <w:lvl w:ilvl="7" w:tplc="311C66F8">
      <w:numFmt w:val="decimal"/>
      <w:lvlText w:val=""/>
      <w:lvlJc w:val="left"/>
    </w:lvl>
    <w:lvl w:ilvl="8" w:tplc="D5603BFE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1"/>
  </w:num>
  <w:num w:numId="5">
    <w:abstractNumId w:val="9"/>
  </w:num>
  <w:num w:numId="6">
    <w:abstractNumId w:val="0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F0E"/>
    <w:rsid w:val="003E7F0E"/>
    <w:rsid w:val="00413997"/>
    <w:rsid w:val="004342D0"/>
    <w:rsid w:val="0052019F"/>
    <w:rsid w:val="00860645"/>
    <w:rsid w:val="009C15AD"/>
    <w:rsid w:val="00A34A55"/>
    <w:rsid w:val="00FE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E49F"/>
  <w15:docId w15:val="{05D399D7-8530-4CC9-8F08-88230308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2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13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character" w:styleId="a3">
    <w:name w:val="Hyperlink"/>
    <w:basedOn w:val="a0"/>
    <w:uiPriority w:val="99"/>
    <w:unhideWhenUsed/>
    <w:rsid w:val="00413997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13997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my-2">
    <w:name w:val="my-2"/>
    <w:basedOn w:val="a"/>
    <w:rsid w:val="00413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4342D0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4342D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342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astour.ru/uaz/turvozmozhnosti-adygei.php" TargetMode="External"/><Relationship Id="rId5" Type="http://schemas.openxmlformats.org/officeDocument/2006/relationships/hyperlink" Target="https://www.elibrary.ru/item.asp?id=80460828&amp;selid=804608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OSB</cp:lastModifiedBy>
  <cp:revision>6</cp:revision>
  <dcterms:created xsi:type="dcterms:W3CDTF">2026-04-08T17:31:00Z</dcterms:created>
  <dcterms:modified xsi:type="dcterms:W3CDTF">2026-04-08T17:59:00Z</dcterms:modified>
</cp:coreProperties>
</file>