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rFonts w:eastAsia="" w:eastAsiaTheme="majorEastAsia"/>
          <w:b/>
          <w:bCs/>
          <w:lang w:eastAsia="en-US"/>
        </w:rPr>
      </w:pPr>
      <w:bookmarkStart w:id="0" w:name="_Toc453151781"/>
      <w:r>
        <w:rPr>
          <w:rFonts w:eastAsia="" w:eastAsiaTheme="majorEastAsia"/>
          <w:b/>
          <w:bCs/>
          <w:lang w:eastAsia="en-US"/>
        </w:rPr>
        <w:t>РАЗВИТИЕ СИЛ</w:t>
      </w:r>
      <w:bookmarkEnd w:id="0"/>
      <w:r>
        <w:rPr>
          <w:rFonts w:eastAsia="" w:eastAsiaTheme="majorEastAsia"/>
          <w:b/>
          <w:bCs/>
          <w:lang w:eastAsia="en-US"/>
        </w:rPr>
        <w:t>ОВЫХ СПОСОБНОСТЕЙ В РАЗЛИЧНЫЕ ВОЗРАСТНЫЕ ПЕРИОДЫ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rFonts w:eastAsia="" w:eastAsiaTheme="majorEastAsia"/>
          <w:b/>
          <w:bCs/>
          <w:lang w:eastAsia="en-US"/>
        </w:rPr>
      </w:pPr>
      <w:r>
        <w:rPr>
          <w:rFonts w:eastAsia="" w:eastAsiaTheme="majorEastAsia"/>
          <w:b/>
          <w:bCs/>
          <w:lang w:eastAsia="en-US"/>
        </w:rPr>
      </w:r>
    </w:p>
    <w:p>
      <w:pPr>
        <w:pStyle w:val="Normal"/>
        <w:snapToGrid w:val="false"/>
        <w:jc w:val="right"/>
        <w:rPr>
          <w:i/>
          <w:i/>
        </w:rPr>
      </w:pPr>
      <w:r>
        <w:rPr>
          <w:i/>
        </w:rPr>
        <w:t>Дебда Диа</w:t>
      </w:r>
      <w:r>
        <w:rPr>
          <w:i/>
        </w:rPr>
        <w:t>н</w:t>
      </w:r>
      <w:r>
        <w:rPr>
          <w:i/>
        </w:rPr>
        <w:t>на Викторовна,</w:t>
      </w:r>
    </w:p>
    <w:p>
      <w:pPr>
        <w:pStyle w:val="Normal"/>
        <w:jc w:val="right"/>
        <w:rPr>
          <w:i/>
          <w:i/>
        </w:rPr>
      </w:pPr>
      <w:r>
        <w:rPr>
          <w:i/>
        </w:rPr>
        <w:t>Институт физической культуры и дзюдо, Майкоп</w:t>
      </w:r>
    </w:p>
    <w:p>
      <w:pPr>
        <w:pStyle w:val="Normal"/>
        <w:jc w:val="right"/>
        <w:rPr>
          <w:i/>
          <w:i/>
        </w:rPr>
      </w:pPr>
      <w:r>
        <w:rPr>
          <w:i/>
        </w:rPr>
        <w:t>Научный руководитель</w:t>
      </w:r>
      <w:r>
        <w:rPr>
          <w:b/>
          <w:i/>
        </w:rPr>
        <w:t xml:space="preserve"> –</w:t>
      </w:r>
      <w:r>
        <w:rPr>
          <w:i/>
        </w:rPr>
        <w:t xml:space="preserve"> Гунажоков Игорь Кимович</w:t>
      </w:r>
      <w:r>
        <w:rPr>
          <w:b/>
          <w:i/>
        </w:rPr>
        <w:t xml:space="preserve">, </w:t>
      </w:r>
      <w:r>
        <w:rPr>
          <w:i/>
        </w:rPr>
        <w:t>канд. пед. наук, доцент,</w:t>
      </w:r>
    </w:p>
    <w:p>
      <w:pPr>
        <w:pStyle w:val="Normal"/>
        <w:jc w:val="right"/>
        <w:rPr>
          <w:i/>
          <w:i/>
        </w:rPr>
      </w:pPr>
      <w:r>
        <w:rPr>
          <w:i/>
        </w:rPr>
        <w:t>Адыгейский государственный университет, Майкоп</w:t>
      </w:r>
    </w:p>
    <w:p>
      <w:pPr>
        <w:pStyle w:val="Normal"/>
        <w:jc w:val="right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Актуальность.</w:t>
      </w:r>
      <w:r>
        <w:rPr>
          <w:rFonts w:eastAsia="Calibri" w:eastAsiaTheme="minorHAnsi"/>
          <w:lang w:eastAsia="en-US"/>
        </w:rPr>
        <w:t xml:space="preserve"> Проблема развития силовых способностей у детей школьного возраста является одной из ключевых в теории и методике физического воспитания. Морфофункциональные и психофизиологические особенности растущего организма обусловливают сенситивные периоды, в которые педагогическое воздействие на силовые качества дает наибольший эффект. Понимание возрастной динамики и механизмов мышечной силы необходимо для разработки адекватных и безопасных тренировочных программ.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Цель исследования</w:t>
      </w:r>
      <w:r>
        <w:rPr>
          <w:rFonts w:eastAsia="Calibri" w:eastAsiaTheme="minorHAnsi"/>
          <w:lang w:eastAsia="en-US"/>
        </w:rPr>
        <w:t xml:space="preserve"> — теоретическое обоснование возрастных закономерностей и методических подходов к развитию силовых способностей у детей школьного возраста на разных этапах онтогенеза.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Задачи исследования:</w:t>
      </w:r>
    </w:p>
    <w:p>
      <w:pPr>
        <w:pStyle w:val="Normal"/>
        <w:widowControl w:val="false"/>
        <w:numPr>
          <w:ilvl w:val="0"/>
          <w:numId w:val="2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Выявить морфофункциональные и биомеханические детерминанты, определяющие уровень развития силы у детей.</w:t>
      </w:r>
    </w:p>
    <w:p>
      <w:pPr>
        <w:pStyle w:val="Normal"/>
        <w:widowControl w:val="false"/>
        <w:numPr>
          <w:ilvl w:val="0"/>
          <w:numId w:val="2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Проанализировать возрастную динамику (сенситивные периоды) развития абсолютной и относительной мышечной силы.</w:t>
      </w:r>
    </w:p>
    <w:p>
      <w:pPr>
        <w:pStyle w:val="Normal"/>
        <w:widowControl w:val="false"/>
        <w:numPr>
          <w:ilvl w:val="0"/>
          <w:numId w:val="2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Классифицировать и обосновать эффективность методов и средств силовой подготовки применительно к разным возрастным группам (младший, средний и старший школьный возраст).</w:t>
      </w:r>
    </w:p>
    <w:p>
      <w:pPr>
        <w:pStyle w:val="Normal"/>
        <w:widowControl w:val="false"/>
        <w:numPr>
          <w:ilvl w:val="0"/>
          <w:numId w:val="2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Определить ограничения и требования безопасности при планировании силовых нагрузок для детей и подростков.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Методы и организация исследования.</w:t>
      </w:r>
      <w:r>
        <w:rPr>
          <w:rFonts w:eastAsia="Calibri" w:eastAsiaTheme="minorHAnsi"/>
          <w:lang w:eastAsia="en-US"/>
        </w:rPr>
        <w:t xml:space="preserve"> Работа выполнена на основе теоретического анализа и обобщения данных научно-методической литературы, а также изучения передового практического опыта специалистов в области физиологии спорта и возрастной педагогики </w:t>
      </w:r>
      <w:r>
        <w:rPr/>
        <w:t>[1, 2, 4].</w:t>
      </w:r>
      <w:r>
        <w:rPr>
          <w:rFonts w:eastAsia="Calibri" w:eastAsiaTheme="minorHAnsi"/>
          <w:lang w:eastAsia="en-US"/>
        </w:rPr>
        <w:t xml:space="preserve"> 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Результаты исследования. </w:t>
      </w:r>
      <w:r>
        <w:rPr>
          <w:rFonts w:eastAsia="Calibri" w:eastAsiaTheme="minorHAnsi"/>
          <w:lang w:eastAsia="en-US"/>
        </w:rPr>
        <w:t>Проведенный анализ позволяет констатировать, что силовые возможности человека детерминированы комплексом факторов: от морфологического строения мышц (композиция мышечных волокон, их микроструктура) до характера нервно-психической регуляции. В процессе онтогенеза абсолютная сила имеет тенденцию к росту от рождения до 20-30 лет с последующей инволюцией. Критический анализ возрастной динамики показывает, что у нетренированных детей наиболее интенсивные приросты силы приходятся на периоды 9-11, 13-14 и 16-18 лет. При этом показатель относительной силы (на 1 кг веса) достигает пиковых значений раньше — к 13-14 годам, что коррелирует с завершением определенных этапов биологического созревания и формирования нейромышечного аппарата.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контексте задач исследования особое внимание уделено дифференциации средств и методов силовой подготовки в зависимости от возраста. Для развития взрывной силы, например, необходима строгая регламентация параметров движений. Выделены три группы упражнений с отягощениями: околопредельные (80-90% от максимума), малые (до 30%), выполняемые с высокой скоростью, и соревновательные (с предельной скоростью). Однако их применение строго лимитировано возрастом занимающихся.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Для детей 8-10 лет приоритетны естественные виды движений (лазанье, перелезание, ходьба на четвереньках), упражнения с малыми мячами, висы и подвижные игры, что обусловлено преимущественным ростом мышц в длину и необходимостью формирования «мышечного корсета» без осевых нагрузок. В 11-12 лет допустимо введение легких отягощений (2-3 кг) и набивных мячей, при этом основным является повторный метод, но исключающий работу «до отказа».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 13-15 лет значение силовой подготовки возрастает. На первый план выходит освоение техники и понимание смысла упражнений. Анализ литературы позволил выделить иерархию методов силовой тренировки для подростков:</w:t>
      </w:r>
    </w:p>
    <w:p>
      <w:pPr>
        <w:pStyle w:val="Normal"/>
        <w:widowControl w:val="false"/>
        <w:numPr>
          <w:ilvl w:val="0"/>
          <w:numId w:val="3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Базовый метод повторных усилий</w:t>
      </w:r>
      <w:r>
        <w:rPr>
          <w:rFonts w:eastAsia="Calibri" w:eastAsiaTheme="minorHAnsi"/>
          <w:lang w:eastAsia="en-US"/>
        </w:rPr>
        <w:t xml:space="preserve"> (30-40% от max, «до отказа»), наиболее адекватный возрастным возможностям.</w:t>
      </w:r>
    </w:p>
    <w:p>
      <w:pPr>
        <w:pStyle w:val="Normal"/>
        <w:widowControl w:val="false"/>
        <w:numPr>
          <w:ilvl w:val="0"/>
          <w:numId w:val="3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Метод динамических усилий </w:t>
      </w:r>
      <w:r>
        <w:rPr>
          <w:rFonts w:eastAsia="Calibri" w:eastAsiaTheme="minorHAnsi"/>
          <w:lang w:eastAsia="en-US"/>
        </w:rPr>
        <w:t>(10-20% от max, предельная скорость), направленный на развитие скоростно-силовых качеств.</w:t>
      </w:r>
    </w:p>
    <w:p>
      <w:pPr>
        <w:pStyle w:val="Normal"/>
        <w:widowControl w:val="false"/>
        <w:numPr>
          <w:ilvl w:val="0"/>
          <w:numId w:val="3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Методы максимальных усилий, прогрессирующих отягощений и ударный метод</w:t>
      </w:r>
      <w:r>
        <w:rPr>
          <w:rFonts w:eastAsia="Calibri" w:eastAsiaTheme="minorHAnsi"/>
          <w:lang w:eastAsia="en-US"/>
        </w:rPr>
        <w:t xml:space="preserve">, которые, согласно данным В.П. Климина </w:t>
      </w:r>
      <w:r>
        <w:rPr/>
        <w:t>[3]</w:t>
      </w:r>
      <w:r>
        <w:rPr>
          <w:rFonts w:eastAsia="Calibri" w:eastAsiaTheme="minorHAnsi"/>
          <w:lang w:eastAsia="en-US"/>
        </w:rPr>
        <w:t xml:space="preserve"> и других авторов, являются прерогативой подготовки спортсменов высокой квалификации со сформированным опорно-двигательным аппаратом и нервно-мышечной системой.</w:t>
      </w:r>
    </w:p>
    <w:p>
      <w:pPr>
        <w:pStyle w:val="Normal"/>
        <w:widowControl w:val="false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Выводы.</w:t>
      </w:r>
    </w:p>
    <w:p>
      <w:pPr>
        <w:pStyle w:val="Normal"/>
        <w:widowControl w:val="false"/>
        <w:numPr>
          <w:ilvl w:val="0"/>
          <w:numId w:val="4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Эффективность развития силы у детей школьного возраста напрямую зависит от учета гетерохронности (неравномерности) созревания систем организма. Сенситивные периоды (9-11, 13-14, 16-18 лет) являются ключевыми ориентирами для планирования тренировочного воздействия.</w:t>
      </w:r>
    </w:p>
    <w:p>
      <w:pPr>
        <w:pStyle w:val="Normal"/>
        <w:widowControl w:val="false"/>
        <w:numPr>
          <w:ilvl w:val="0"/>
          <w:numId w:val="4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Методика силовой подготовки должна строго соответствовать биологическому, а не паспортному возрасту ребенка. В младшем школьном возрасте приоритет отдается укреплению связочного аппарата и формированию двигательной базы без использования значительных отягощений, исключая компрессионные и асимметричные нагрузки на позвоночник.</w:t>
      </w:r>
    </w:p>
    <w:p>
      <w:pPr>
        <w:pStyle w:val="Normal"/>
        <w:widowControl w:val="false"/>
        <w:numPr>
          <w:ilvl w:val="0"/>
          <w:numId w:val="4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подростковом возрасте (13-15 лет) оптимальным является применение метода повторных усилий с отягощениями 30-40% от максимального, что позволяет стимулировать мышечное развитие без риска перенапряжения. Методы, связанные с предельными и околопредельными нагрузками, являются преждевременными и потенциально опасными для данной возрастной группы.</w:t>
      </w:r>
    </w:p>
    <w:p>
      <w:pPr>
        <w:pStyle w:val="Normal"/>
        <w:widowControl w:val="false"/>
        <w:numPr>
          <w:ilvl w:val="0"/>
          <w:numId w:val="4"/>
        </w:numPr>
        <w:ind w:firstLine="709" w:left="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Дифференцированный подход к выбору средств (от естественно-прикладных упражнений до строго дозированных отягощений) и методов (повторный, динамических усилий) обеспечивает не только прирост силовых показателей, но и профилактику травматизма, способствуя гармоничному физическому развитию детей.</w:t>
      </w:r>
    </w:p>
    <w:p>
      <w:pPr>
        <w:pStyle w:val="Normal"/>
        <w:widowControl w:val="false"/>
        <w:jc w:val="center"/>
        <w:rPr>
          <w:rFonts w:cs="Courier New"/>
        </w:rPr>
      </w:pPr>
      <w:r>
        <w:rPr>
          <w:rFonts w:cs="Courier New"/>
        </w:rPr>
      </w:r>
    </w:p>
    <w:p>
      <w:pPr>
        <w:pStyle w:val="ListParagraph"/>
        <w:ind w:left="0"/>
        <w:jc w:val="center"/>
        <w:rPr>
          <w:b/>
        </w:rPr>
      </w:pPr>
      <w:r>
        <w:rPr>
          <w:b/>
        </w:rPr>
        <w:t>Список литературы: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1276" w:leader="none"/>
        </w:tabs>
        <w:spacing w:before="0" w:after="0"/>
        <w:ind w:firstLine="709" w:left="0"/>
        <w:contextualSpacing/>
        <w:jc w:val="both"/>
        <w:rPr/>
      </w:pPr>
      <w:r>
        <w:rPr/>
        <w:t>Верхошанский Ю.В. Основы специальной силовой подготовки в спорте.-2-е изд., перераб. и дополн. М.: Физкультура и спорт, 1994.-215 с.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  <w:tab w:val="left" w:pos="1276" w:leader="none"/>
        </w:tabs>
        <w:ind w:firstLine="709" w:left="0"/>
        <w:jc w:val="both"/>
        <w:rPr/>
      </w:pPr>
      <w:r>
        <w:rPr/>
        <w:t>Дзюдо. Система и борьба: учебник для СДЮШОР, спортивных факультетов педагогических институтов, техникумов физической культуры и училищ олимпийского резерва. / Под общ. ред. Ю.А. Шулика, Я. К. Коблев и др. – Ростов-на-Дону: Феникс, 2006.- 800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1276" w:leader="none"/>
        </w:tabs>
        <w:spacing w:before="0" w:after="0"/>
        <w:ind w:firstLine="709" w:left="0"/>
        <w:contextualSpacing/>
        <w:jc w:val="both"/>
        <w:rPr/>
      </w:pPr>
      <w:r>
        <w:rPr/>
        <w:t>Климин В.П. Управление подготовкой хоккеистов / Климин В.П., Колосков В.И. - М.: Физкультура и спорт, 1982. - 281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0" w:leader="none"/>
          <w:tab w:val="left" w:pos="1276" w:leader="none"/>
        </w:tabs>
        <w:spacing w:before="0" w:after="0"/>
        <w:ind w:firstLine="709" w:left="0"/>
        <w:contextualSpacing/>
        <w:jc w:val="both"/>
        <w:rPr/>
      </w:pPr>
      <w:r>
        <w:rPr/>
        <w:t>Филин В.П., Фомин Н.А. Основы юношеского спорта. М.: Физкультура и спорт, 1994. - 255 с.</w:t>
      </w:r>
      <w:bookmarkStart w:id="1" w:name="_GoBack"/>
      <w:bookmarkEnd w:id="1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488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66488b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qFormat/>
    <w:rsid w:val="0066488b"/>
    <w:rPr>
      <w:rFonts w:ascii="Cambria" w:hAnsi="Cambria"/>
      <w:b/>
      <w:bCs/>
      <w:kern w:val="2"/>
      <w:sz w:val="32"/>
      <w:szCs w:val="32"/>
    </w:rPr>
  </w:style>
  <w:style w:type="character" w:styleId="Style13" w:customStyle="1">
    <w:name w:val="Название Знак"/>
    <w:qFormat/>
    <w:rsid w:val="0066488b"/>
    <w:rPr>
      <w:rFonts w:ascii="Cambria" w:hAnsi="Cambria"/>
      <w:b/>
      <w:bCs/>
      <w:kern w:val="2"/>
      <w:sz w:val="32"/>
      <w:szCs w:val="32"/>
    </w:rPr>
  </w:style>
  <w:style w:type="character" w:styleId="Emphasis">
    <w:name w:val="Emphasis"/>
    <w:qFormat/>
    <w:rsid w:val="0066488b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13"/>
    <w:qFormat/>
    <w:rsid w:val="0066488b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66488b"/>
    <w:pPr>
      <w:ind w:left="70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88b"/>
    <w:pPr>
      <w:keepLines/>
      <w:spacing w:lineRule="auto" w:line="276" w:before="480" w:after="0"/>
      <w:outlineLvl w:val="9"/>
    </w:pPr>
    <w:rPr>
      <w:color w:val="365F91"/>
      <w:kern w:val="0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3C41-C17A-462C-B354-194E66DC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LibreOffice/24.2.1.2$Windows_X86_64 LibreOffice_project/db4def46b0453cc22e2d0305797cf981b68ef5ac</Application>
  <AppVersion>15.0000</AppVersion>
  <Pages>2</Pages>
  <Words>723</Words>
  <Characters>5217</Characters>
  <CharactersWithSpaces>5900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2018-01-31T08:51:00Z</dcterms:created>
  <dc:creator>1</dc:creator>
  <dc:description/>
  <dc:language>ru-RU</dc:language>
  <cp:lastModifiedBy/>
  <dcterms:modified xsi:type="dcterms:W3CDTF">2026-03-17T13:04:30Z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