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EF6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Психолого-педагогическая профилактика самоповреждающего поведения в подростковом возрасте</w:t>
      </w:r>
      <w:bookmarkStart w:id="0" w:name="_GoBack"/>
      <w:bookmarkEnd w:id="0"/>
    </w:p>
    <w:p w14:paraId="7576CA9B">
      <w:pPr>
        <w:spacing w:after="0" w:line="240" w:lineRule="auto"/>
        <w:jc w:val="right"/>
        <w:rPr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</w:rPr>
        <w:t>Автор:</w:t>
      </w:r>
      <w:r>
        <w:rPr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  <w:t>Батракова Анжелика Романовна</w:t>
      </w:r>
    </w:p>
    <w:p w14:paraId="48D60B9C">
      <w:pPr>
        <w:spacing w:after="0" w:line="240" w:lineRule="auto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Адыгейский государственный университет, г. Майкоп</w:t>
      </w:r>
      <w:r>
        <w:rPr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</w:rPr>
        <w:t>Научный руководитель: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02A23206">
      <w:pPr>
        <w:spacing w:after="0" w:line="240" w:lineRule="auto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  <w:t>Шебанец Елена Юрьевна</w:t>
      </w:r>
    </w:p>
    <w:p w14:paraId="4B5F6625">
      <w:pPr>
        <w:wordWrap w:val="0"/>
        <w:spacing w:after="0" w:line="240" w:lineRule="auto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olor w:val="0F1115"/>
          <w:spacing w:val="0"/>
          <w:sz w:val="24"/>
          <w:szCs w:val="24"/>
          <w:shd w:val="clear" w:fill="FFFFFF"/>
          <w:lang w:val="ru-RU"/>
        </w:rPr>
        <w:t>К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  <w:t>андидат психологических наук, доцент кафедры педагогики и социальной психологии</w:t>
      </w:r>
    </w:p>
    <w:p w14:paraId="0198CBC5">
      <w:pPr>
        <w:spacing w:after="0" w:line="240" w:lineRule="auto"/>
        <w:jc w:val="right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4FF3A433">
      <w:pPr>
        <w:spacing w:after="0" w:line="240" w:lineRule="auto"/>
        <w:jc w:val="right"/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</w:p>
    <w:p w14:paraId="0A1F71B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Актуальность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Самоповреждающее поведение (несуицидальные самоповреждения) в подростковом возрасте приобретает масштабы значимой психолого-педагогической проблемы. Распространённость самоповреждений среди подростков достигает 22%, возраст дебюта приходится на 12–14 лет [2, с. 45]. Как отмечает Е.Г. Дозорцева, «самоповреждающее поведение становится специфическим способом совладания с эмоциональным дистрессом в ситуации дефицита адаптивных копинг-стратегий» [3, с. 67]. Актуальность определяется противоречием между потребностью школ в эффективных превентивных инструментах и недостаточной разработанностью системных рекомендаций для педагогов и психологов.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</w:p>
    <w:p w14:paraId="7B93ADC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Степень разработанности проблемы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Ключевое значение имеет интегративная модель Н. Фокса, согласно которой самоповреждение выполняет функцию эмоциональной регуляции и закрепляется через механизмы негативного подкрепления [5, с. 112]. В отечественной психологии А.А. Ранневская разработала типологию самоповреждающего поведения (компульсивный, демонстративный, диссоциативный типы) [4, с. 34–38]. Современные исследования акцентируют роль средовых факторов: «семейное неблагополучие и школьный буллинг являются значимыми предикторами формирования самоповреждающих паттернов» [1, с. 89]. Анализ литературы показывает, что существующие профилактические программы ориентированы преимущественно на третичную профилактику и не учитывают ресурсный потенциал образовательной среды [2; 3].</w:t>
      </w:r>
    </w:p>
    <w:p w14:paraId="5CAD793F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240" w:lineRule="auto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Цель и задачи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исследования: теоретическое обоснование ресурсной модели психолого-педагогической профилактики самоповреждающего поведения подростков с последующей разработкой оригинальных практических рекомендаций.</w:t>
      </w:r>
    </w:p>
    <w:p w14:paraId="540D4025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Задачи: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провести теоретический анализ ключевых положений интегративной модели Н. Фокса и типологии А.А. Ранневской; выявить ресурсные факторы, снижающие риск формирования самоповреждений; разработать практические рекомендации для педагогов и психологов.</w:t>
      </w:r>
    </w:p>
    <w:p w14:paraId="02FF4BE2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 xml:space="preserve"> Методы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Использован комплекс теоретических методов: системный анализ научной литературы, метод теоретического моделирования профилактической деятельности, сравнительно-сопоставительный анализ существующих программ, метод классификации и типологизации самоповреждающих проявлений.</w:t>
      </w:r>
    </w:p>
    <w:p w14:paraId="05148D1F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240" w:lineRule="auto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Научные результаты и выводы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Установлено, что эффективная профилактика невозможна без учёта двух положений. Во-первых, согласно Н. Фоксу, самоповреждение закрепляется через негативное подкрепление: «кратковременное снижение эмоционального напряжения после самоповреждения усиливает вероятность его повторения» [5, с. 115]. Во-вторых, типология А.А. Ранневской доказывает неоднородность самоповреждающего поведения: компульсивный тип требует иных стратегий, чем демонстративный [4, с. 35–36].</w:t>
      </w:r>
    </w:p>
    <w:p w14:paraId="00FB82E4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 основе анализа разработаны следующие оригинальные практические рекомендации:</w:t>
      </w:r>
    </w:p>
    <w:p w14:paraId="7A94935A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Рекомендация 1. Алгоритм «Типологическая диагностика»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Предлагается скрининговый протокол для отнесения поведения подростка к одному из трёх типов (компульсивный, демонстративный, диссоциативный) с соответствующей маршрутизацией [4, с. 37].</w:t>
      </w:r>
    </w:p>
    <w:p w14:paraId="6480E331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Рекомендация 2. Стратегия «Формирование альтернативных копинг-стратегий»*. Основываясь на положении Н. Фокса о том, что «самоповреждение замещает дефицитарные навыки эмоциональной регуляции» [5, с. 118], рекомендуется внедрение «гибких зон эмоциональной разгрузки» и обучение безопасным техникам снижения напряжения.</w:t>
      </w:r>
    </w:p>
    <w:p w14:paraId="415D203D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Рекомендация 3. Техника «Переопределение подкрепления»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Учитывая, что «внимание со стороны взрослых может закреплять демонстративные формы самоповреждений» [3, с. 72], предлагается алгоритм поведения педагога (игнорирование манипулятивных элементов при немедленном реагировании на признаки реального самоповреждения).</w:t>
      </w:r>
    </w:p>
    <w:p w14:paraId="3222E0BB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Рекомендация 4. Протокол взаимодействия с семьей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Включает диагностику типа семейного воспитания и информирование родителей о механизмах закрепления самоповреждающего поведения с акцентом на профилактику вторичной травматизации [1, с. 94].</w:t>
      </w:r>
    </w:p>
    <w:p w14:paraId="0D594FE7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Выводы.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Теоретическое обоснование профилактики самоповреждающего поведения с опорой на интегративную модель Н. Фокса и типологию А.А. Ранневской позволяет преодолеть ограничения существующих практик. Предложенные алгоритмы могут быть интегрированы в деятельность педагогов-психологов и классных руководителей без привлечения дополнительных ресурсов.</w:t>
      </w:r>
    </w:p>
    <w:p w14:paraId="5A0ACEFF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 xml:space="preserve">Список литературы </w:t>
      </w:r>
    </w:p>
    <w:p w14:paraId="60D4E0D4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Вихристюк О.В. Самоповреждающее поведение у подростков: современные подходы к диагностике и профилактике / О.В. Вихристюк, Е.Г. Дозорцева // Психологическая наука и образование. — 2021. — Т. 26. — № 4. — С. 42–53.</w:t>
      </w:r>
    </w:p>
    <w:p w14:paraId="6359219F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Дозорцева Е.Г. Психологические факторы риска самоповреждающего поведения у подростков / Е.Г. Дозорцева // Вопросы психологии. — 2020. — № 2. — С. 44–55.</w:t>
      </w:r>
    </w:p>
    <w:p w14:paraId="48C1C6A7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Дозорцева Е.Г. Агрессия и самоповреждение у подростков: психологические механизмы и профилактика / Е.Г. Дозорцева, А.А. Ранневская. — М.: Издательство Московского университета, 2020. — 192 с.</w:t>
      </w:r>
    </w:p>
    <w:p w14:paraId="7A0122D1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Ранневская А.А. Типология самоповреждающего поведения у подростков: клинико-психологический подход / А.А. Ранневская // Российский психиатрический журнал. — 2022. — № 5. — С. 32–40.</w:t>
      </w:r>
    </w:p>
    <w:p w14:paraId="7A971007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Фокс Н. Самоповреждение: понять, принять, помочь / Н. Фокс ; пер. с англ. — М.: Научный мир, 2021. — 256 с.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83452"/>
    <w:multiLevelType w:val="singleLevel"/>
    <w:tmpl w:val="40C8345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621D"/>
    <w:rsid w:val="4D9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2026-04-08T13:07:00Z</dcterms:created>
  <dc:creator>студент</dc:creator>
  <cp:lastModifiedBy>студент</cp:lastModifiedBy>
  <dcterms:modified xsi:type="dcterms:W3CDTF">2026-04-09T09:54:53Z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550C88094A2B4C32A31C07018BEBFB99_12</vt:lpwstr>
  </property>
</Properties>
</file>