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3248">
      <w:pPr>
        <w:spacing w:after="160" w:line="240" w:lineRule="auto"/>
        <w:jc w:val="center"/>
        <w:rPr>
          <w:lang w:val="ru-RU"/>
        </w:rPr>
      </w:pPr>
      <w:r>
        <w:rPr>
          <w:b/>
          <w:lang w:val="ru-RU"/>
        </w:rPr>
        <w:t>СОЦИАЛЬНЫЕ АСПЕКТЫ ЖИЗНИ В АНГЛОЯЗЫЧНЫХ СТРАНАХ: ОБРАЗОВАНИЕ, ЗДРАВООХРАНЕНИЕ, СОЦИАЛЬНАЯ ПОЛИТИКА</w:t>
      </w:r>
    </w:p>
    <w:p w14:paraId="413F86C9">
      <w:pPr>
        <w:wordWrap w:val="0"/>
        <w:spacing w:after="0" w:line="240" w:lineRule="auto"/>
        <w:jc w:val="right"/>
        <w:rPr>
          <w:i/>
          <w:lang w:val="ru-RU"/>
        </w:rPr>
      </w:pPr>
      <w:r>
        <w:rPr>
          <w:i/>
          <w:lang w:val="ru-RU"/>
        </w:rPr>
        <w:t>Кульченко А.А.</w:t>
      </w:r>
    </w:p>
    <w:p w14:paraId="2803AA22">
      <w:pPr>
        <w:shd w:val="clear" w:color="auto" w:fill="FFFFFF"/>
        <w:spacing w:after="0" w:line="279" w:lineRule="auto"/>
        <w:ind w:firstLine="709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  <w:r>
        <w:rPr>
          <w:rFonts w:cs="Times New Roman"/>
          <w:i/>
          <w:iCs/>
          <w:color w:val="353535"/>
          <w:szCs w:val="24"/>
          <w:lang w:val="ru-RU" w:eastAsia="ru-RU"/>
        </w:rPr>
        <w:t>ФГБОУ ВО «АГУ», г.Майкоп.</w:t>
      </w:r>
    </w:p>
    <w:p w14:paraId="43C325F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  <w:r>
        <w:rPr>
          <w:rFonts w:cs="Times New Roman"/>
          <w:i/>
          <w:iCs/>
          <w:color w:val="353535"/>
          <w:szCs w:val="24"/>
          <w:lang w:val="ru-RU" w:eastAsia="ru-RU"/>
        </w:rPr>
        <w:t>Научный руководитель – Туова М.Р., к.п.н., доц.,</w:t>
      </w:r>
    </w:p>
    <w:p w14:paraId="37D1386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  <w:r>
        <w:rPr>
          <w:rFonts w:cs="Times New Roman"/>
          <w:i/>
          <w:iCs/>
          <w:color w:val="353535"/>
          <w:szCs w:val="24"/>
          <w:lang w:val="ru-RU" w:eastAsia="ru-RU"/>
        </w:rPr>
        <w:t>ФГБОУ ВО «АГУ», г.Майкоп.</w:t>
      </w:r>
    </w:p>
    <w:p w14:paraId="3C278EA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</w:p>
    <w:p w14:paraId="76F56E91">
      <w:pPr>
        <w:spacing w:after="40" w:line="240" w:lineRule="auto"/>
        <w:ind w:firstLine="709"/>
        <w:jc w:val="both"/>
        <w:rPr>
          <w:b/>
          <w:bCs/>
          <w:lang w:val="ru-RU"/>
        </w:rPr>
      </w:pPr>
      <w:r>
        <w:rPr>
          <w:rFonts w:eastAsia="Calibri" w:cs="Times New Roman"/>
          <w:b/>
          <w:bCs/>
          <w:color w:val="353535"/>
          <w:szCs w:val="24"/>
          <w:lang w:val="ru-RU"/>
        </w:rPr>
        <w:t>Тема нашего исследования</w:t>
      </w:r>
      <w:r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hd w:val="clear" w:color="auto" w:fill="FFFFFF"/>
          <w:lang w:val="ru-RU"/>
        </w:rPr>
        <w:t>посвящена особенностям системы образования, здравоохранения и социальной защиты в англоязычных странах, связанных с историческими, культурными и политическими факторами.</w:t>
      </w:r>
    </w:p>
    <w:p w14:paraId="18F8A86D">
      <w:pPr>
        <w:spacing w:after="40" w:line="240" w:lineRule="auto"/>
        <w:ind w:firstLine="709"/>
        <w:jc w:val="both"/>
        <w:rPr>
          <w:lang w:val="ru-RU"/>
        </w:rPr>
      </w:pPr>
      <w:r>
        <w:t>Актуальность темы обусловлена тем, что социальные системы англоязычных стран оказывают прямое влияние на уровень благосостояния населения, доступ к базовым услугам и общее качество жизни. В современном мире именно образование, здравоохранение и социальная политика выступают ключевыми индикаторами устойчивого развития государства [2; 6]. Сопоставление моделей США, Великобритании, Канады и Австралии позволяет выявить как общие черты англоязычного мира, так и существенные различия в организации социальной поддержки населения.</w:t>
      </w:r>
    </w:p>
    <w:p w14:paraId="4C987E4B">
      <w:pPr>
        <w:spacing w:after="40" w:line="240" w:lineRule="auto"/>
        <w:ind w:firstLine="709"/>
        <w:jc w:val="both"/>
        <w:rPr>
          <w:lang w:val="ru-RU"/>
        </w:rPr>
      </w:pPr>
      <w:r>
        <w:t>Степень разработанности темы достаточно высока. В отечественной и зарубежной литературе социальное государство рассматривается как важнейший механизм обеспечения равенства возможностей и социальной стабильности [2; 3]. В международных обзорах OECD и Commonwealth Fund системно анализируются доступность образования, эффективность здравоохранения, объём социальных расходов и их связь с благополучием граждан [1; 4; 5]. Однако комплексные краткие сопоставления англоязычных стран в учебно-научном формате по-прежнему востребованы.</w:t>
      </w:r>
    </w:p>
    <w:p w14:paraId="6849BE57">
      <w:pPr>
        <w:spacing w:after="40" w:line="240" w:lineRule="auto"/>
        <w:ind w:firstLine="709"/>
        <w:jc w:val="both"/>
        <w:rPr>
          <w:lang w:val="ru-RU"/>
        </w:rPr>
      </w:pPr>
      <w:r>
        <w:t>Проведённый обзор показывает, что образование в англоязычных странах сочетает высокий уровень институционального развития с заметными различиями в доступности. По данным OECD, в Канаде и Австралии доля молодых взрослых с третичным образованием особенно высока, а в Великобритании значимую роль играют международная мобильность студентов и развитый университетский сектор [5]. В США система отличается крупными инвестициями в образование, однако сохраняются выраженные различия в доступе к раннему обучению и высшему образованию, что связано с высокой стоимостью отдельных уровней подготовки [5]. Следовательно, качество жизни возрастает там, где образовательная система не только сильна академически, но и более равномерно доступна различным социальным группам.</w:t>
      </w:r>
    </w:p>
    <w:p w14:paraId="3BE6FF99">
      <w:pPr>
        <w:spacing w:after="40" w:line="240" w:lineRule="auto"/>
        <w:ind w:firstLine="709"/>
        <w:jc w:val="both"/>
        <w:rPr>
          <w:lang w:val="ru-RU"/>
        </w:rPr>
      </w:pPr>
      <w:r>
        <w:t>Сфера здравоохранения особенно наглядно демонстрирует различия между англоязычными странами. Согласно сравнительному докладу Commonwealth Fund за 2024 год, Австралия и Великобритания входят в число лидеров по общей эффективности медицинских систем, тогда как США остаются последними по совокупным показателям, несмотря на крайне высокие расходы [1]. Для Великобритании и Канады характерна более выраженная ориентация на универсальный доступ к медицинской помощи, в то время как американская модель демонстрирует более сильную зависимость от страховых механизмов и уровня дохода населения [1]. Это позволяет сделать вывод о том, что универсальность и финансовая доступность медицины напрямую связаны с субъективным ощущением защищённости и социальной стабильности.</w:t>
      </w:r>
    </w:p>
    <w:p w14:paraId="5105777A">
      <w:pPr>
        <w:spacing w:after="40" w:line="240" w:lineRule="auto"/>
        <w:ind w:firstLine="709"/>
        <w:jc w:val="both"/>
        <w:rPr>
          <w:lang w:val="ru-RU"/>
        </w:rPr>
      </w:pPr>
      <w:r>
        <w:t>Социальная политика в рассматриваемых странах также имеет разную степень компенсаторной силы. По оценкам OECD, государственные и смешанные механизмы социальных расходов остаются одним из важнейших инструментов поддержки семей, пожилых граждан, безработных и уязвимых групп [4; 6]. Канада, Великобритания и Австралия в большей степени опираются на сочетание адресных выплат и публичных сервисов, тогда как в США значительный объём социальной поддержки формируется через смешанные и частные каналы, что делает систему менее равномерной по результатам [6]. В результате влияние социальной политики на качество жизни проявляется не только в объёме расходов, но и в степени реальной доступности помощи.</w:t>
      </w:r>
    </w:p>
    <w:p w14:paraId="53D16F0C">
      <w:pPr>
        <w:spacing w:after="40" w:line="240" w:lineRule="auto"/>
        <w:ind w:firstLine="709"/>
        <w:jc w:val="both"/>
        <w:rPr>
          <w:lang w:val="ru-RU"/>
        </w:rPr>
      </w:pPr>
      <w:r>
        <w:rPr>
          <w:b/>
          <w:bCs/>
          <w:lang w:val="ru-RU"/>
        </w:rPr>
        <w:t>Цель исследования</w:t>
      </w:r>
      <w:r>
        <w:rPr>
          <w:lang w:val="ru-RU"/>
        </w:rPr>
        <w:t xml:space="preserve"> — охарактеризовать социальные аспекты жизни в англоязычных странах и определить, как особенности образовательных систем, здравоохранения и социальной политики влияют на качество жизни населения. </w:t>
      </w:r>
    </w:p>
    <w:p w14:paraId="07E6A8AD">
      <w:pPr>
        <w:spacing w:after="40" w:line="240" w:lineRule="auto"/>
        <w:ind w:firstLine="709"/>
        <w:jc w:val="both"/>
        <w:rPr>
          <w:b/>
          <w:bCs/>
          <w:lang w:val="ru-RU"/>
        </w:rPr>
      </w:pPr>
      <w:r>
        <w:rPr>
          <w:lang w:val="ru-RU"/>
        </w:rPr>
        <w:t xml:space="preserve">Для достижения цели были поставлены следующие </w:t>
      </w:r>
      <w:r>
        <w:rPr>
          <w:b/>
          <w:bCs/>
          <w:lang w:val="ru-RU"/>
        </w:rPr>
        <w:t xml:space="preserve">задачи: </w:t>
      </w:r>
    </w:p>
    <w:p w14:paraId="1C08C493">
      <w:pPr>
        <w:pStyle w:val="45"/>
        <w:numPr>
          <w:ilvl w:val="0"/>
          <w:numId w:val="7"/>
        </w:numPr>
        <w:spacing w:after="0" w:line="240" w:lineRule="auto"/>
        <w:ind w:left="1066" w:hanging="357"/>
        <w:jc w:val="both"/>
        <w:rPr>
          <w:lang w:val="ru-RU"/>
        </w:rPr>
      </w:pPr>
      <w:r>
        <w:rPr>
          <w:lang w:val="ru-RU"/>
        </w:rPr>
        <w:t xml:space="preserve">Рассмотреть специфику образовательных систем США, Великобритании, Канады и Австралии. </w:t>
      </w:r>
    </w:p>
    <w:p w14:paraId="17D961E4">
      <w:pPr>
        <w:pStyle w:val="45"/>
        <w:numPr>
          <w:ilvl w:val="0"/>
          <w:numId w:val="7"/>
        </w:numPr>
        <w:spacing w:after="0" w:line="240" w:lineRule="auto"/>
        <w:ind w:left="1066" w:hanging="357"/>
        <w:jc w:val="both"/>
        <w:rPr>
          <w:lang w:val="ru-RU"/>
        </w:rPr>
      </w:pPr>
      <w:r>
        <w:rPr>
          <w:lang w:val="ru-RU"/>
        </w:rPr>
        <w:t xml:space="preserve">Сравнить модели здравоохранения в этих странах. </w:t>
      </w:r>
    </w:p>
    <w:p w14:paraId="5264AF5B">
      <w:pPr>
        <w:pStyle w:val="45"/>
        <w:numPr>
          <w:ilvl w:val="0"/>
          <w:numId w:val="7"/>
        </w:numPr>
        <w:spacing w:after="0" w:line="240" w:lineRule="auto"/>
        <w:ind w:left="1066" w:hanging="357"/>
        <w:jc w:val="both"/>
        <w:rPr>
          <w:lang w:val="ru-RU"/>
        </w:rPr>
      </w:pPr>
      <w:r>
        <w:rPr>
          <w:lang w:val="ru-RU"/>
        </w:rPr>
        <w:t xml:space="preserve">Выявить роль социальной политики в снижении неравенства. </w:t>
      </w:r>
    </w:p>
    <w:p w14:paraId="6B635F3F">
      <w:pPr>
        <w:pStyle w:val="45"/>
        <w:numPr>
          <w:ilvl w:val="0"/>
          <w:numId w:val="7"/>
        </w:numPr>
        <w:spacing w:after="0" w:line="240" w:lineRule="auto"/>
        <w:ind w:left="1066" w:hanging="357"/>
        <w:jc w:val="both"/>
        <w:rPr>
          <w:lang w:val="ru-RU"/>
        </w:rPr>
      </w:pPr>
      <w:r>
        <w:rPr>
          <w:lang w:val="ru-RU"/>
        </w:rPr>
        <w:t>Определить общее влияние социальных институтов на качество жизни.</w:t>
      </w:r>
    </w:p>
    <w:p w14:paraId="0D020D72">
      <w:pPr>
        <w:spacing w:line="240" w:lineRule="auto"/>
        <w:jc w:val="both"/>
        <w:rPr>
          <w:lang w:val="ru-RU"/>
        </w:rPr>
      </w:pPr>
      <w:r>
        <w:rPr>
          <w:b/>
          <w:bCs/>
          <w:lang w:val="ru-RU"/>
        </w:rPr>
        <w:t xml:space="preserve">Методы исследования. </w:t>
      </w:r>
      <w:r>
        <w:rPr>
          <w:rFonts w:eastAsia="Calibri" w:cs="Times New Roman"/>
          <w:color w:val="353535"/>
          <w:szCs w:val="24"/>
          <w:lang w:val="ru-RU"/>
        </w:rPr>
        <w:t>В работе были использованы</w:t>
      </w:r>
      <w:r>
        <w:rPr>
          <w:lang w:val="ru-RU"/>
        </w:rPr>
        <w:t xml:space="preserve"> метод анализа научной литературы, сравнительно-сопоставительный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https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://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www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.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oecd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.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org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en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data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tools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well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-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being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-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data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-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monitor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/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better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-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life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-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index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>.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en-US" w:eastAsia="en-US"/>
        </w:rPr>
        <w:t>html</w:t>
      </w:r>
      <w:r>
        <w:rPr>
          <w:rFonts w:hint="default" w:ascii="Times New Roman" w:hAnsi="Times New Roman" w:eastAsia="Times New Roman" w:cs="SimSun"/>
          <w:b w:val="0"/>
          <w:bCs w:val="0"/>
          <w:i w:val="0"/>
          <w:iCs w:val="0"/>
          <w:color w:val="auto"/>
          <w:sz w:val="24"/>
          <w:szCs w:val="22"/>
          <w:highlight w:val="none"/>
          <w:vertAlign w:val="baseline"/>
          <w:lang w:val="ru-RU" w:eastAsia="en-US"/>
        </w:rPr>
        <w:t xml:space="preserve"> (дата обращения: 05.04.2026).</w:t>
      </w:r>
      <w:r>
        <w:rPr>
          <w:lang w:val="ru-RU"/>
        </w:rPr>
        <w:t xml:space="preserve"> метод, метод обобщения статистических и аналитических данных международных организаций, а также описательный метод.</w:t>
      </w:r>
    </w:p>
    <w:p w14:paraId="7C56D625">
      <w:pPr>
        <w:spacing w:after="4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  <w:bCs/>
          <w:szCs w:val="24"/>
          <w:lang w:val="ru-RU" w:eastAsia="ru-RU"/>
        </w:rPr>
        <w:t>Материалом исследования</w:t>
      </w:r>
      <w:r>
        <w:rPr>
          <w:rFonts w:cs="Times New Roman"/>
          <w:szCs w:val="24"/>
          <w:lang w:val="ru-RU" w:eastAsia="ru-RU"/>
        </w:rPr>
        <w:t xml:space="preserve"> послужили теоретические подходы, а также научные труды, посвященные проблеме исследования.</w:t>
      </w:r>
    </w:p>
    <w:p w14:paraId="4D292C87">
      <w:pPr>
        <w:spacing w:after="40" w:line="240" w:lineRule="auto"/>
        <w:ind w:firstLine="709"/>
        <w:jc w:val="both"/>
        <w:rPr>
          <w:lang w:val="ru-RU"/>
        </w:rPr>
      </w:pPr>
      <w:bookmarkStart w:id="0" w:name="_GoBack"/>
      <w:r>
        <w:rPr>
          <w:rFonts w:eastAsia="Calibri" w:cs="Times New Roman"/>
          <w:b/>
          <w:bCs/>
          <w:color w:val="000000"/>
          <w:szCs w:val="24"/>
          <w:lang w:val="ru-RU"/>
        </w:rPr>
        <w:t>В рамках проведенного исследования установлено</w:t>
      </w:r>
      <w:bookmarkEnd w:id="0"/>
      <w:r>
        <w:rPr>
          <w:rFonts w:cs="Times New Roman"/>
          <w:color w:val="2A363B"/>
          <w:szCs w:val="24"/>
          <w:lang w:val="ru-RU"/>
        </w:rPr>
        <w:t>,</w:t>
      </w:r>
      <w:r>
        <w:rPr>
          <w:lang w:val="ru-RU"/>
        </w:rPr>
        <w:t xml:space="preserve"> что качество жизни в англоязычных странах определяется не одним фактором, а взаимодействием трёх систем — образования, здравоохранения и социальной политики. Наиболее устойчивые результаты достигаются там, где высокий уровень образовательных возможностей сочетается с доступной медициной и развитой системой социальной защиты. Практическая значимость исследования состоит в том, что его выводы могут быть использованы при изучении страноведения, социологии, социальной политики и английского языка в междисциплинарном аспекте.</w:t>
      </w:r>
    </w:p>
    <w:p w14:paraId="3CAD21C2">
      <w:pPr>
        <w:spacing w:before="120" w:after="80" w:line="240" w:lineRule="auto"/>
        <w:jc w:val="center"/>
        <w:rPr>
          <w:lang w:val="ru-RU"/>
        </w:rPr>
      </w:pPr>
      <w:r>
        <w:rPr>
          <w:b/>
          <w:lang w:val="ru-RU"/>
        </w:rPr>
        <w:t>Список литературы:</w:t>
      </w:r>
    </w:p>
    <w:p w14:paraId="70DFE5AC">
      <w:pPr>
        <w:spacing w:after="0" w:line="240" w:lineRule="auto"/>
        <w:jc w:val="both"/>
        <w:rPr>
          <w:lang w:val="ru-RU"/>
        </w:rPr>
      </w:pPr>
      <w:r>
        <w:t>1. Blumenthal D., Gumas E., Shah A., Gunja M.Z., Williams R.D. Mirror, Mirror 2024: A Portrait of the Failing U.S. Health System — Comparing Performance in 10 Nations. New York: The Commonwealth Fund, 2024.</w:t>
      </w:r>
    </w:p>
    <w:p w14:paraId="6E1250A1">
      <w:pPr>
        <w:spacing w:after="0" w:line="240" w:lineRule="auto"/>
        <w:jc w:val="both"/>
      </w:pPr>
      <w:r>
        <w:t>2. Гидденс Э. Социология. М.: URSS, 2022.</w:t>
      </w:r>
    </w:p>
    <w:p w14:paraId="32FB3FB1">
      <w:pPr>
        <w:spacing w:after="0" w:line="240" w:lineRule="auto"/>
        <w:jc w:val="both"/>
        <w:rPr>
          <w:highlight w:val="yellow"/>
        </w:rPr>
      </w:pPr>
      <w:r>
        <w:t>3. Мишра Р. Государство благосостояния в сравнительной перспективе. М.: Изд. дом ВШЭ, 2019.</w:t>
      </w:r>
    </w:p>
    <w:p w14:paraId="72472CCA">
      <w:pPr>
        <w:spacing w:after="0" w:line="240" w:lineRule="auto"/>
        <w:jc w:val="both"/>
        <w:rPr>
          <w:highlight w:val="yellow"/>
        </w:rPr>
      </w:pPr>
      <w:r>
        <w:t xml:space="preserve">4. OECD Better Life Index. URL: </w:t>
      </w:r>
    </w:p>
    <w:p w14:paraId="0B2ABD33">
      <w:pPr>
        <w:spacing w:after="0" w:line="240" w:lineRule="auto"/>
        <w:jc w:val="both"/>
        <w:rPr>
          <w:highlight w:val="yellow"/>
        </w:rPr>
      </w:pPr>
      <w:r>
        <w:t>5. OECD. Education at a Glance 2024: OECD Indicators. Paris: OECD Publishing, 2024.</w:t>
      </w:r>
    </w:p>
    <w:p w14:paraId="7D705F48">
      <w:pPr>
        <w:spacing w:after="0" w:line="240" w:lineRule="auto"/>
        <w:jc w:val="both"/>
        <w:rPr>
          <w:lang w:val="ru-RU"/>
        </w:rPr>
      </w:pPr>
      <w:r>
        <w:t>6. OECD. Society at a Glance 2024: OECD Social Indicators. Paris: OECD Publishing, 2024.</w:t>
      </w:r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0020204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MS Mincho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99" w:semiHidden="0" w:name="macro"/>
    <w:lsdException w:unhideWhenUsed="0" w:uiPriority="0" w:semiHidden="0" w:name="toa heading"/>
    <w:lsdException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SimSu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SimSu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41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SimSu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42"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SimSun"/>
      <w:b/>
      <w:bCs/>
      <w:color w:val="4F81BD"/>
    </w:rPr>
  </w:style>
  <w:style w:type="paragraph" w:styleId="5">
    <w:name w:val="heading 4"/>
    <w:basedOn w:val="1"/>
    <w:next w:val="1"/>
    <w:link w:val="52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SimSun"/>
      <w:b/>
      <w:bCs/>
      <w:i/>
      <w:iCs/>
      <w:color w:val="4F81BD"/>
    </w:rPr>
  </w:style>
  <w:style w:type="paragraph" w:styleId="6">
    <w:name w:val="heading 5"/>
    <w:basedOn w:val="1"/>
    <w:next w:val="1"/>
    <w:link w:val="53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SimSun"/>
      <w:color w:val="244061"/>
    </w:rPr>
  </w:style>
  <w:style w:type="paragraph" w:styleId="7">
    <w:name w:val="heading 6"/>
    <w:basedOn w:val="1"/>
    <w:next w:val="1"/>
    <w:link w:val="54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SimSun"/>
      <w:i/>
      <w:iCs/>
      <w:color w:val="244061"/>
    </w:rPr>
  </w:style>
  <w:style w:type="paragraph" w:styleId="8">
    <w:name w:val="heading 7"/>
    <w:basedOn w:val="1"/>
    <w:next w:val="1"/>
    <w:link w:val="55"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SimSun"/>
      <w:i/>
      <w:iCs/>
      <w:color w:val="404040"/>
    </w:rPr>
  </w:style>
  <w:style w:type="paragraph" w:styleId="9">
    <w:name w:val="heading 8"/>
    <w:basedOn w:val="1"/>
    <w:next w:val="1"/>
    <w:link w:val="56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SimSun"/>
      <w:color w:val="4F81BD"/>
      <w:sz w:val="20"/>
      <w:szCs w:val="20"/>
    </w:rPr>
  </w:style>
  <w:style w:type="paragraph" w:styleId="10">
    <w:name w:val="heading 9"/>
    <w:basedOn w:val="1"/>
    <w:next w:val="1"/>
    <w:link w:val="57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SimSun"/>
      <w:i/>
      <w:iCs/>
      <w:color w:val="404040"/>
      <w:sz w:val="20"/>
      <w:szCs w:val="20"/>
    </w:rPr>
  </w:style>
  <w:style w:type="character" w:default="1" w:styleId="11">
    <w:name w:val="Default Paragraph Font"/>
    <w:uiPriority w:val="1"/>
  </w:style>
  <w:style w:type="table" w:default="1" w:styleId="1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8">
    <w:name w:val="List Number 3"/>
    <w:basedOn w:val="1"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qFormat/>
    <w:uiPriority w:val="99"/>
    <w:pPr>
      <w:spacing w:after="120"/>
    </w:pPr>
  </w:style>
  <w:style w:type="paragraph" w:styleId="21">
    <w:name w:val="macro"/>
    <w:link w:val="49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MS Mincho" w:cs="SimSun"/>
      <w:lang w:val="en-US" w:eastAsia="en-US" w:bidi="ar-SA"/>
    </w:rPr>
  </w:style>
  <w:style w:type="paragraph" w:styleId="22">
    <w:name w:val="List Bullet"/>
    <w:basedOn w:val="1"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SimSun"/>
      <w:color w:val="17365D"/>
      <w:spacing w:val="5"/>
      <w:kern w:val="28"/>
      <w:sz w:val="52"/>
      <w:szCs w:val="52"/>
    </w:rPr>
  </w:style>
  <w:style w:type="paragraph" w:styleId="26">
    <w:name w:val="footer"/>
    <w:basedOn w:val="1"/>
    <w:link w:val="38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="Calibri" w:hAnsi="Calibri" w:eastAsia="MS Gothic" w:cs="SimSun"/>
      <w:i/>
      <w:iCs/>
      <w:color w:val="4F81BD"/>
      <w:spacing w:val="15"/>
      <w:szCs w:val="24"/>
    </w:rPr>
  </w:style>
  <w:style w:type="paragraph" w:styleId="32">
    <w:name w:val="List Continue 2"/>
    <w:basedOn w:val="1"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iPriority w:val="99"/>
    <w:pPr>
      <w:spacing w:after="120"/>
      <w:ind w:left="1080"/>
      <w:contextualSpacing/>
    </w:pPr>
  </w:style>
  <w:style w:type="paragraph" w:styleId="34">
    <w:name w:val="List 2"/>
    <w:basedOn w:val="1"/>
    <w:qFormat/>
    <w:uiPriority w:val="99"/>
    <w:pPr>
      <w:ind w:left="720" w:hanging="360"/>
      <w:contextualSpacing/>
    </w:pPr>
  </w:style>
  <w:style w:type="paragraph" w:styleId="35">
    <w:name w:val="List 3"/>
    <w:basedOn w:val="1"/>
    <w:qFormat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uiPriority w:val="99"/>
  </w:style>
  <w:style w:type="character" w:customStyle="1" w:styleId="38">
    <w:name w:val="Нижний колонтитул Знак"/>
    <w:basedOn w:val="11"/>
    <w:link w:val="26"/>
    <w:qFormat/>
    <w:uiPriority w:val="99"/>
  </w:style>
  <w:style w:type="paragraph" w:styleId="39">
    <w:name w:val="No Spacing"/>
    <w:qFormat/>
    <w:uiPriority w:val="1"/>
    <w:rPr>
      <w:rFonts w:ascii="Cambria" w:hAnsi="Cambria" w:eastAsia="MS Mincho" w:cs="SimSun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qFormat/>
    <w:uiPriority w:val="9"/>
    <w:rPr>
      <w:rFonts w:ascii="Calibri" w:hAnsi="Calibri" w:eastAsia="MS Gothic" w:cs="SimSun"/>
      <w:b/>
      <w:bCs/>
      <w:color w:val="365F91"/>
      <w:sz w:val="28"/>
      <w:szCs w:val="28"/>
    </w:rPr>
  </w:style>
  <w:style w:type="character" w:customStyle="1" w:styleId="41">
    <w:name w:val="Заголовок 2 Знак"/>
    <w:basedOn w:val="11"/>
    <w:link w:val="3"/>
    <w:qFormat/>
    <w:uiPriority w:val="9"/>
    <w:rPr>
      <w:rFonts w:ascii="Calibri" w:hAnsi="Calibri" w:eastAsia="MS Gothic" w:cs="SimSun"/>
      <w:b/>
      <w:bCs/>
      <w:color w:val="4F81BD"/>
      <w:sz w:val="26"/>
      <w:szCs w:val="26"/>
    </w:rPr>
  </w:style>
  <w:style w:type="character" w:customStyle="1" w:styleId="42">
    <w:name w:val="Заголовок 3 Знак"/>
    <w:basedOn w:val="11"/>
    <w:link w:val="4"/>
    <w:uiPriority w:val="9"/>
    <w:rPr>
      <w:rFonts w:ascii="Calibri" w:hAnsi="Calibri" w:eastAsia="MS Gothic" w:cs="SimSun"/>
      <w:b/>
      <w:bCs/>
      <w:color w:val="4F81BD"/>
    </w:rPr>
  </w:style>
  <w:style w:type="character" w:customStyle="1" w:styleId="43">
    <w:name w:val="Заголовок Знак"/>
    <w:basedOn w:val="11"/>
    <w:link w:val="25"/>
    <w:qFormat/>
    <w:uiPriority w:val="10"/>
    <w:rPr>
      <w:rFonts w:ascii="Calibri" w:hAnsi="Calibri" w:eastAsia="MS Gothic" w:cs="SimSun"/>
      <w:color w:val="17365D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qFormat/>
    <w:uiPriority w:val="11"/>
    <w:rPr>
      <w:rFonts w:ascii="Calibri" w:hAnsi="Calibri" w:eastAsia="MS Gothic" w:cs="SimSun"/>
      <w:i/>
      <w:iCs/>
      <w:color w:val="4F81BD"/>
      <w:spacing w:val="15"/>
      <w:sz w:val="24"/>
      <w:szCs w:val="24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uiPriority w:val="99"/>
  </w:style>
  <w:style w:type="character" w:customStyle="1" w:styleId="47">
    <w:name w:val="Основной текст 2 Знак"/>
    <w:basedOn w:val="11"/>
    <w:link w:val="16"/>
    <w:qFormat/>
    <w:uiPriority w:val="99"/>
  </w:style>
  <w:style w:type="character" w:customStyle="1" w:styleId="48">
    <w:name w:val="Основной текст 3 Знак"/>
    <w:basedOn w:val="11"/>
    <w:link w:val="30"/>
    <w:qFormat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/>
    </w:rPr>
  </w:style>
  <w:style w:type="character" w:customStyle="1" w:styleId="51">
    <w:name w:val="Цитата 2 Знак"/>
    <w:basedOn w:val="11"/>
    <w:link w:val="50"/>
    <w:uiPriority w:val="29"/>
    <w:rPr>
      <w:i/>
      <w:iCs/>
      <w:color w:val="000000"/>
    </w:rPr>
  </w:style>
  <w:style w:type="character" w:customStyle="1" w:styleId="52">
    <w:name w:val="Заголовок 4 Знак"/>
    <w:basedOn w:val="11"/>
    <w:link w:val="5"/>
    <w:uiPriority w:val="9"/>
    <w:rPr>
      <w:rFonts w:ascii="Calibri" w:hAnsi="Calibri" w:eastAsia="MS Gothic" w:cs="SimSun"/>
      <w:b/>
      <w:bCs/>
      <w:i/>
      <w:iCs/>
      <w:color w:val="4F81BD"/>
    </w:rPr>
  </w:style>
  <w:style w:type="character" w:customStyle="1" w:styleId="53">
    <w:name w:val="Заголовок 5 Знак"/>
    <w:basedOn w:val="11"/>
    <w:link w:val="6"/>
    <w:uiPriority w:val="9"/>
    <w:rPr>
      <w:rFonts w:ascii="Calibri" w:hAnsi="Calibri" w:eastAsia="MS Gothic" w:cs="SimSun"/>
      <w:color w:val="244061"/>
    </w:rPr>
  </w:style>
  <w:style w:type="character" w:customStyle="1" w:styleId="54">
    <w:name w:val="Заголовок 6 Знак"/>
    <w:basedOn w:val="11"/>
    <w:link w:val="7"/>
    <w:uiPriority w:val="9"/>
    <w:rPr>
      <w:rFonts w:ascii="Calibri" w:hAnsi="Calibri" w:eastAsia="MS Gothic" w:cs="SimSun"/>
      <w:i/>
      <w:iCs/>
      <w:color w:val="244061"/>
    </w:rPr>
  </w:style>
  <w:style w:type="character" w:customStyle="1" w:styleId="55">
    <w:name w:val="Заголовок 7 Знак"/>
    <w:basedOn w:val="11"/>
    <w:link w:val="8"/>
    <w:uiPriority w:val="9"/>
    <w:rPr>
      <w:rFonts w:ascii="Calibri" w:hAnsi="Calibri" w:eastAsia="MS Gothic" w:cs="SimSun"/>
      <w:i/>
      <w:iCs/>
      <w:color w:val="404040"/>
    </w:rPr>
  </w:style>
  <w:style w:type="character" w:customStyle="1" w:styleId="56">
    <w:name w:val="Заголовок 8 Знак"/>
    <w:basedOn w:val="11"/>
    <w:link w:val="9"/>
    <w:qFormat/>
    <w:uiPriority w:val="9"/>
    <w:rPr>
      <w:rFonts w:ascii="Calibri" w:hAnsi="Calibri" w:eastAsia="MS Gothic" w:cs="SimSun"/>
      <w:color w:val="4F81BD"/>
      <w:sz w:val="20"/>
      <w:szCs w:val="20"/>
    </w:rPr>
  </w:style>
  <w:style w:type="character" w:customStyle="1" w:styleId="57">
    <w:name w:val="Заголовок 9 Знак"/>
    <w:basedOn w:val="11"/>
    <w:link w:val="10"/>
    <w:qFormat/>
    <w:uiPriority w:val="9"/>
    <w:rPr>
      <w:rFonts w:ascii="Calibri" w:hAnsi="Calibri" w:eastAsia="MS Gothic" w:cs="SimSun"/>
      <w:i/>
      <w:iCs/>
      <w:color w:val="404040"/>
      <w:sz w:val="20"/>
      <w:szCs w:val="20"/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59">
    <w:name w:val="Выделенная цитата Знак"/>
    <w:basedOn w:val="11"/>
    <w:link w:val="58"/>
    <w:qFormat/>
    <w:uiPriority w:val="30"/>
    <w:rPr>
      <w:b/>
      <w:bCs/>
      <w:i/>
      <w:iCs/>
      <w:color w:val="4F81BD"/>
    </w:rPr>
  </w:style>
  <w:style w:type="character" w:customStyle="1" w:styleId="60">
    <w:name w:val="Слабое выделение1"/>
    <w:basedOn w:val="11"/>
    <w:qFormat/>
    <w:uiPriority w:val="19"/>
    <w:rPr>
      <w:i/>
      <w:iCs/>
      <w:color w:val="7F7F7F"/>
    </w:rPr>
  </w:style>
  <w:style w:type="character" w:customStyle="1" w:styleId="61">
    <w:name w:val="Сильное выделение1"/>
    <w:basedOn w:val="11"/>
    <w:qFormat/>
    <w:uiPriority w:val="21"/>
    <w:rPr>
      <w:b/>
      <w:bCs/>
      <w:i/>
      <w:iCs/>
      <w:color w:val="4F81BD"/>
    </w:rPr>
  </w:style>
  <w:style w:type="character" w:customStyle="1" w:styleId="62">
    <w:name w:val="Слабая ссылка1"/>
    <w:basedOn w:val="11"/>
    <w:qFormat/>
    <w:uiPriority w:val="31"/>
    <w:rPr>
      <w:smallCaps/>
      <w:color w:val="C0504D"/>
      <w:u w:val="single"/>
    </w:rPr>
  </w:style>
  <w:style w:type="character" w:customStyle="1" w:styleId="63">
    <w:name w:val="Сильная ссылка1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64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65">
    <w:name w:val="Заголовок оглавления1"/>
    <w:basedOn w:val="2"/>
    <w:next w:val="1"/>
    <w:qFormat/>
    <w:uiPriority w:val="39"/>
    <w:pPr>
      <w:outlineLvl w:val="9"/>
    </w:pPr>
  </w:style>
  <w:style w:type="table" w:styleId="66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7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8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9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0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71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2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3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4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5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6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7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8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9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80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SimSun"/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SimSun"/>
        <w:b/>
        <w:bCs/>
      </w:rPr>
    </w:tblStylePr>
    <w:tblStylePr w:type="lastCol">
      <w:rPr>
        <w:rFonts w:ascii="Calibri" w:hAnsi="Calibri" w:eastAsia="MS Gothic" w:cs="SimSu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tcBorders>
          <w:insideH w:val="nil"/>
          <w:insideV w:val="nil"/>
        </w:tcBorders>
        <w:shd w:val="clear" w:color="auto" w:fill="C0C0C0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tcBorders>
          <w:insideH w:val="nil"/>
          <w:insideV w:val="nil"/>
        </w:tcBorders>
        <w:shd w:val="clear" w:color="auto" w:fill="EFD3D2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tcBorders>
          <w:insideH w:val="nil"/>
          <w:insideV w:val="nil"/>
        </w:tcBorders>
        <w:shd w:val="clear" w:color="auto" w:fill="E6EED5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tcBorders>
          <w:insideH w:val="nil"/>
          <w:insideV w:val="nil"/>
        </w:tcBorders>
        <w:shd w:val="clear" w:color="auto" w:fill="DFD8E8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tcBorders>
          <w:insideH w:val="nil"/>
          <w:insideV w:val="nil"/>
        </w:tcBorders>
        <w:shd w:val="clear" w:color="auto" w:fill="D2EAF1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tcBorders>
          <w:insideH w:val="nil"/>
          <w:insideV w:val="nil"/>
        </w:tcBorders>
        <w:shd w:val="clear" w:color="auto" w:fill="FDE4D0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styleId="102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styleId="103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styleId="104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styleId="105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styleId="106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styleId="107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libri" w:hAnsi="Calibri" w:eastAsia="MS Gothic" w:cs="SimSun"/>
      </w:rPr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table" w:styleId="108">
    <w:name w:val="Medium List 2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rPr>
      <w:rFonts w:ascii="Calibri" w:hAnsi="Calibri" w:eastAsia="MS Gothic" w:cs="SimSu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styleId="116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styleId="117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styleId="118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styleId="119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styleId="120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styleId="121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styleId="122">
    <w:name w:val="Medium Grid 2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styleId="123">
    <w:name w:val="Medium Grid 2 Accent 1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cPr>
        <w:shd w:val="clear" w:color="auto" w:fill="EDF2F8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cPr>
        <w:shd w:val="clear" w:color="auto" w:fill="A7BFDE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cPr>
        <w:shd w:val="clear" w:color="auto" w:fill="FFFFFF"/>
      </w:tcPr>
    </w:tblStylePr>
  </w:style>
  <w:style w:type="table" w:styleId="124">
    <w:name w:val="Medium Grid 2 Accent 2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cPr>
        <w:shd w:val="clear" w:color="auto" w:fill="F8EDED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cPr>
        <w:shd w:val="clear" w:color="auto" w:fill="DFA7A6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cPr>
        <w:shd w:val="clear" w:color="auto" w:fill="FFFFFF"/>
      </w:tcPr>
    </w:tblStylePr>
  </w:style>
  <w:style w:type="table" w:styleId="125">
    <w:name w:val="Medium Grid 2 Accent 3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cPr>
        <w:shd w:val="clear" w:color="auto" w:fill="F5F8EE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cPr>
        <w:shd w:val="clear" w:color="auto" w:fill="CDDDAC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cPr>
        <w:shd w:val="clear" w:color="auto" w:fill="FFFFFF"/>
      </w:tcPr>
    </w:tblStylePr>
  </w:style>
  <w:style w:type="table" w:styleId="126">
    <w:name w:val="Medium Grid 2 Accent 4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cPr>
        <w:shd w:val="clear" w:color="auto" w:fill="F2EFF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cPr>
        <w:shd w:val="clear" w:color="auto" w:fill="BFB1D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cPr>
        <w:shd w:val="clear" w:color="auto" w:fill="FFFFFF"/>
      </w:tcPr>
    </w:tblStylePr>
  </w:style>
  <w:style w:type="table" w:styleId="127">
    <w:name w:val="Medium Grid 2 Accent 5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cPr>
        <w:shd w:val="clear" w:color="auto" w:fill="EDF6F9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cPr>
        <w:shd w:val="clear" w:color="auto" w:fill="A5D5E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cPr>
        <w:shd w:val="clear" w:color="auto" w:fill="FFFFFF"/>
      </w:tcPr>
    </w:tblStylePr>
  </w:style>
  <w:style w:type="table" w:styleId="128">
    <w:name w:val="Medium Grid 2 Accent 6"/>
    <w:basedOn w:val="12"/>
    <w:uiPriority w:val="68"/>
    <w:rPr>
      <w:rFonts w:ascii="Calibri" w:hAnsi="Calibri" w:eastAsia="MS Gothic" w:cs="SimSu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cPr>
        <w:shd w:val="clear" w:color="auto" w:fill="FEF4EC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cPr>
        <w:shd w:val="clear" w:color="auto" w:fill="FBCAA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cPr>
        <w:shd w:val="clear" w:color="auto" w:fill="FFFFFF"/>
      </w:tcPr>
    </w:tblStylePr>
  </w:style>
  <w:style w:type="table" w:styleId="129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0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1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2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3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4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5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6">
    <w:name w:val="Dark List"/>
    <w:basedOn w:val="12"/>
    <w:uiPriority w:val="70"/>
    <w:rPr>
      <w:color w:val="FFFFFF"/>
    </w:rPr>
    <w:tblPr/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7">
    <w:name w:val="Dark List Accent 1"/>
    <w:basedOn w:val="12"/>
    <w:uiPriority w:val="70"/>
    <w:rPr>
      <w:color w:val="FFFFFF"/>
    </w:rPr>
    <w:tblPr/>
    <w:tcPr>
      <w:shd w:val="clear" w:color="auto" w:fill="4F81B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8">
    <w:name w:val="Dark List Accent 2"/>
    <w:basedOn w:val="12"/>
    <w:uiPriority w:val="70"/>
    <w:rPr>
      <w:color w:val="FFFFFF"/>
    </w:rPr>
    <w:tblPr/>
    <w:tcPr>
      <w:shd w:val="clear" w:color="auto" w:fill="C0504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9">
    <w:name w:val="Dark List Accent 3"/>
    <w:basedOn w:val="12"/>
    <w:uiPriority w:val="70"/>
    <w:rPr>
      <w:color w:val="FFFFFF"/>
    </w:rPr>
    <w:tblPr/>
    <w:tcPr>
      <w:shd w:val="clear" w:color="auto" w:fill="9BBB59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40">
    <w:name w:val="Dark List Accent 4"/>
    <w:basedOn w:val="12"/>
    <w:uiPriority w:val="70"/>
    <w:rPr>
      <w:color w:val="FFFFFF"/>
    </w:rPr>
    <w:tblPr/>
    <w:tcPr>
      <w:shd w:val="clear" w:color="auto" w:fill="8064A2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41">
    <w:name w:val="Dark List Accent 5"/>
    <w:basedOn w:val="12"/>
    <w:uiPriority w:val="70"/>
    <w:rPr>
      <w:color w:val="FFFFFF"/>
    </w:rPr>
    <w:tblPr/>
    <w:tcPr>
      <w:shd w:val="clear" w:color="auto" w:fill="4BACC6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2">
    <w:name w:val="Dark List Accent 6"/>
    <w:basedOn w:val="12"/>
    <w:uiPriority w:val="70"/>
    <w:rPr>
      <w:color w:val="FFFFFF"/>
    </w:rPr>
    <w:tblPr/>
    <w:tcPr>
      <w:shd w:val="clear" w:color="auto" w:fill="F79646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3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cPr>
        <w:shd w:val="clear" w:color="auto" w:fill="B8CCE4"/>
      </w:tcPr>
    </w:tblStylePr>
    <w:tblStylePr w:type="band1Horz"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5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cPr>
        <w:shd w:val="clear" w:color="auto" w:fill="E5B8B7"/>
      </w:tcPr>
    </w:tblStylePr>
    <w:tblStylePr w:type="band1Horz"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cPr>
        <w:shd w:val="clear" w:color="auto" w:fill="D6E3BC"/>
      </w:tcPr>
    </w:tblStylePr>
    <w:tblStylePr w:type="band1Horz">
      <w:tcPr>
        <w:shd w:val="clear" w:color="auto" w:fill="CDDDAC"/>
      </w:tcPr>
    </w:tblStylePr>
  </w:style>
  <w:style w:type="table" w:styleId="147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cPr>
        <w:shd w:val="clear" w:color="auto" w:fill="CCC0D9"/>
      </w:tcPr>
    </w:tblStylePr>
    <w:tblStylePr w:type="band1Horz"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9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cPr>
        <w:shd w:val="clear" w:color="auto" w:fill="FBD4B4"/>
      </w:tcPr>
    </w:tblStylePr>
    <w:tblStylePr w:type="band1Horz"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50">
    <w:name w:val="Colorful List"/>
    <w:basedOn w:val="12"/>
    <w:uiPriority w:val="7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styleId="151">
    <w:name w:val="Colorful List Accent 1"/>
    <w:basedOn w:val="12"/>
    <w:uiPriority w:val="72"/>
    <w:rPr>
      <w:color w:val="000000"/>
    </w:rPr>
    <w:tblPr/>
    <w:tcPr>
      <w:shd w:val="clear" w:color="auto" w:fill="EDF2F8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shd w:val="clear" w:color="auto" w:fill="DBE5F1"/>
      </w:tcPr>
    </w:tblStylePr>
  </w:style>
  <w:style w:type="table" w:styleId="152">
    <w:name w:val="Colorful List Accent 2"/>
    <w:basedOn w:val="12"/>
    <w:uiPriority w:val="72"/>
    <w:rPr>
      <w:color w:val="000000"/>
    </w:rPr>
    <w:tblPr/>
    <w:tcPr>
      <w:shd w:val="clear" w:color="auto" w:fill="F8EDED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cPr>
        <w:shd w:val="clear" w:color="auto" w:fill="F2DBDB"/>
      </w:tcPr>
    </w:tblStylePr>
  </w:style>
  <w:style w:type="table" w:styleId="153">
    <w:name w:val="Colorful List Accent 3"/>
    <w:basedOn w:val="12"/>
    <w:uiPriority w:val="72"/>
    <w:rPr>
      <w:color w:val="000000"/>
    </w:rPr>
    <w:tblPr/>
    <w:tcPr>
      <w:shd w:val="clear" w:color="auto" w:fill="F5F8EE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shd w:val="clear" w:color="auto" w:fill="EAF1DD"/>
      </w:tcPr>
    </w:tblStylePr>
  </w:style>
  <w:style w:type="table" w:styleId="154">
    <w:name w:val="Colorful List Accent 4"/>
    <w:basedOn w:val="12"/>
    <w:uiPriority w:val="72"/>
    <w:rPr>
      <w:color w:val="000000"/>
    </w:rPr>
    <w:tblPr/>
    <w:tcPr>
      <w:shd w:val="clear" w:color="auto" w:fill="F2EFF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cPr>
        <w:shd w:val="clear" w:color="auto" w:fill="E5DFEC"/>
      </w:tcPr>
    </w:tblStylePr>
  </w:style>
  <w:style w:type="table" w:styleId="155">
    <w:name w:val="Colorful List Accent 5"/>
    <w:basedOn w:val="12"/>
    <w:uiPriority w:val="72"/>
    <w:rPr>
      <w:color w:val="000000"/>
    </w:rPr>
    <w:tblPr/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styleId="156">
    <w:name w:val="Colorful List Accent 6"/>
    <w:basedOn w:val="12"/>
    <w:uiPriority w:val="72"/>
    <w:rPr>
      <w:color w:val="000000"/>
    </w:rPr>
    <w:tblPr/>
    <w:tcPr>
      <w:shd w:val="clear" w:color="auto" w:fill="FEF4EC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cPr>
        <w:shd w:val="clear" w:color="auto" w:fill="FDE9D9"/>
      </w:tcPr>
    </w:tblStylePr>
  </w:style>
  <w:style w:type="table" w:styleId="157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styleId="158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styleId="159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cPr>
        <w:shd w:val="clear" w:color="auto" w:fill="E5B8B7"/>
      </w:tcPr>
    </w:tblStylePr>
    <w:tblStylePr w:type="lastRow">
      <w:rPr>
        <w:b/>
        <w:bCs/>
        <w:color w:val="000000"/>
      </w:rPr>
      <w:tcPr>
        <w:shd w:val="clear" w:color="auto" w:fill="E5B8B7"/>
      </w:tcPr>
    </w:tblStylePr>
    <w:tblStylePr w:type="firstCol">
      <w:rPr>
        <w:color w:val="FFFFFF"/>
      </w:rPr>
      <w:tcPr>
        <w:shd w:val="clear" w:color="auto" w:fill="943634"/>
      </w:tcPr>
    </w:tblStylePr>
    <w:tblStylePr w:type="lastCol">
      <w:rPr>
        <w:color w:val="FFFFFF"/>
      </w:rPr>
      <w:tcPr>
        <w:shd w:val="clear" w:color="auto" w:fill="943634"/>
      </w:tc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styleId="160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styleId="161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cPr>
        <w:shd w:val="clear" w:color="auto" w:fill="CCC0D9"/>
      </w:tcPr>
    </w:tblStylePr>
    <w:tblStylePr w:type="lastRow">
      <w:rPr>
        <w:b/>
        <w:bCs/>
        <w:color w:val="000000"/>
      </w:rPr>
      <w:tcPr>
        <w:shd w:val="clear" w:color="auto" w:fill="CCC0D9"/>
      </w:tcPr>
    </w:tblStylePr>
    <w:tblStylePr w:type="firstCol">
      <w:rPr>
        <w:color w:val="FFFFFF"/>
      </w:rPr>
      <w:tcPr>
        <w:shd w:val="clear" w:color="auto" w:fill="5F497A"/>
      </w:tcPr>
    </w:tblStylePr>
    <w:tblStylePr w:type="lastCol">
      <w:rPr>
        <w:color w:val="FFFFFF"/>
      </w:rPr>
      <w:tcPr>
        <w:shd w:val="clear" w:color="auto" w:fill="5F497A"/>
      </w:tc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styleId="162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cPr>
        <w:shd w:val="clear" w:color="auto" w:fill="B6DDE8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31849B"/>
      </w:tcPr>
    </w:tblStylePr>
    <w:tblStylePr w:type="lastCol">
      <w:rPr>
        <w:color w:val="FFFFFF"/>
      </w:rPr>
      <w:tcPr>
        <w:shd w:val="clear" w:color="auto" w:fill="31849B"/>
      </w:tc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styleId="163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cPr>
        <w:shd w:val="clear" w:color="auto" w:fill="FBD4B4"/>
      </w:tcPr>
    </w:tblStylePr>
    <w:tblStylePr w:type="lastRow">
      <w:rPr>
        <w:b/>
        <w:bCs/>
        <w:color w:val="000000"/>
      </w:rPr>
      <w:tcPr>
        <w:shd w:val="clear" w:color="auto" w:fill="FBD4B4"/>
      </w:tcPr>
    </w:tblStylePr>
    <w:tblStylePr w:type="firstCol">
      <w:rPr>
        <w:color w:val="FFFFFF"/>
      </w:rPr>
      <w:tcPr>
        <w:shd w:val="clear" w:color="auto" w:fill="E36C0A"/>
      </w:tcPr>
    </w:tblStylePr>
    <w:tblStylePr w:type="lastCol">
      <w:rPr>
        <w:color w:val="FFFFFF"/>
      </w:rPr>
      <w:tcPr>
        <w:shd w:val="clear" w:color="auto" w:fill="E36C0A"/>
      </w:tc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5096</Characters>
  <Paragraphs>29</Paragraphs>
  <TotalTime>31</TotalTime>
  <ScaleCrop>false</ScaleCrop>
  <LinksUpToDate>false</LinksUpToDate>
  <CharactersWithSpaces>5790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2026-04-05T10:06:00Z</dcterms:created>
  <dc:creator>python-docx</dc:creator>
  <dc:description>generated by python-docx</dc:description>
  <cp:lastModifiedBy>ASUS</cp:lastModifiedBy>
  <dcterms:modified xsi:type="dcterms:W3CDTF">2026-04-07T14:49:46Z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A202D3CEF06D48BA84148642EF99C928_12</vt:lpwstr>
  </property>
</Properties>
</file>