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2E2F" w14:textId="3BF8224A" w:rsidR="000C6139" w:rsidRDefault="00524B56" w:rsidP="00DD58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ЦИФРОВОЙ</w:t>
      </w:r>
      <w:r w:rsidR="00A706AD">
        <w:rPr>
          <w:rFonts w:ascii="Times New Roman" w:hAnsi="Times New Roman" w:cs="Times New Roman"/>
          <w:sz w:val="24"/>
          <w:szCs w:val="24"/>
        </w:rPr>
        <w:t xml:space="preserve"> ДЕТОКС КАК СПОСОБ ПРЕОДОЛЕНИЯ ИНФОРМАЦИОННОГО СТРЕССА И СНИЖЕНИЯ РИСКА ЭМОЦИОНАЛЬНОГО ВЫГОРАНИЯ</w:t>
      </w:r>
    </w:p>
    <w:p w14:paraId="400BFB06" w14:textId="77777777" w:rsidR="00DD5896" w:rsidRDefault="00DD5896" w:rsidP="00DD58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FC9EF0" w14:textId="1079498F" w:rsidR="008C7621" w:rsidRPr="008C7621" w:rsidRDefault="008C7621" w:rsidP="00DD58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C7621">
        <w:rPr>
          <w:rFonts w:ascii="Times New Roman" w:hAnsi="Times New Roman" w:cs="Times New Roman"/>
          <w:i/>
          <w:iCs/>
          <w:sz w:val="24"/>
          <w:szCs w:val="24"/>
        </w:rPr>
        <w:t>Милованова С</w:t>
      </w:r>
      <w:r w:rsidR="008F6D6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C762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8F6D6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C7621">
        <w:rPr>
          <w:rFonts w:ascii="Times New Roman" w:hAnsi="Times New Roman" w:cs="Times New Roman"/>
          <w:i/>
          <w:iCs/>
          <w:sz w:val="24"/>
          <w:szCs w:val="24"/>
        </w:rPr>
        <w:t>, студент, Адыгейский государственный университет, г. Майкоп.</w:t>
      </w:r>
    </w:p>
    <w:p w14:paraId="33CF1BD8" w14:textId="086A439E" w:rsidR="008C7621" w:rsidRDefault="008C7621" w:rsidP="00DD58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C7621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Деленьян А. В., ассистент кафедры социальной работы и туризма, Адыгейский государственный университет, г. Майкоп.</w:t>
      </w:r>
    </w:p>
    <w:p w14:paraId="717AE1CB" w14:textId="77777777" w:rsidR="00DD5896" w:rsidRDefault="00DD5896" w:rsidP="00DD58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C045E0A" w14:textId="3C08AC84" w:rsidR="00350C11" w:rsidRDefault="00071C86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исследования обусловлена тем, что с</w:t>
      </w:r>
      <w:r w:rsidR="00350C11" w:rsidRPr="00350C11">
        <w:rPr>
          <w:rFonts w:ascii="Times New Roman" w:hAnsi="Times New Roman" w:cs="Times New Roman"/>
          <w:sz w:val="24"/>
          <w:szCs w:val="24"/>
        </w:rPr>
        <w:t>овременн</w:t>
      </w:r>
      <w:r w:rsidR="00350C11">
        <w:rPr>
          <w:rFonts w:ascii="Times New Roman" w:hAnsi="Times New Roman" w:cs="Times New Roman"/>
          <w:sz w:val="24"/>
          <w:szCs w:val="24"/>
        </w:rPr>
        <w:t>ое</w:t>
      </w:r>
      <w:r w:rsidR="00350C11" w:rsidRPr="00350C11">
        <w:rPr>
          <w:rFonts w:ascii="Times New Roman" w:hAnsi="Times New Roman" w:cs="Times New Roman"/>
          <w:sz w:val="24"/>
          <w:szCs w:val="24"/>
        </w:rPr>
        <w:t xml:space="preserve"> </w:t>
      </w:r>
      <w:r w:rsidR="00350C11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350C11" w:rsidRPr="00350C11">
        <w:rPr>
          <w:rFonts w:ascii="Times New Roman" w:hAnsi="Times New Roman" w:cs="Times New Roman"/>
          <w:sz w:val="24"/>
          <w:szCs w:val="24"/>
        </w:rPr>
        <w:t>характеризуется тотальной цифровизацией и ростом информационных потоков, что приводит к когнитивной перегрузке и развитию информационного стресса [1]. Среднестатистический пользователь проводит со смартфоном от 6 до 9 часов ежедневно, что превышает адаптационные возможности психики и способствует эмоциональному выгоранию [</w:t>
      </w:r>
      <w:r w:rsidR="002D0E77">
        <w:rPr>
          <w:rFonts w:ascii="Times New Roman" w:hAnsi="Times New Roman" w:cs="Times New Roman"/>
          <w:sz w:val="24"/>
          <w:szCs w:val="24"/>
        </w:rPr>
        <w:t>4</w:t>
      </w:r>
      <w:r w:rsidR="00350C11" w:rsidRPr="00350C11">
        <w:rPr>
          <w:rFonts w:ascii="Times New Roman" w:hAnsi="Times New Roman" w:cs="Times New Roman"/>
          <w:sz w:val="24"/>
          <w:szCs w:val="24"/>
        </w:rPr>
        <w:t xml:space="preserve">]. В ответ на эти вызовы формируется феномен цифрового детокса </w:t>
      </w:r>
      <w:r w:rsidR="00350C11">
        <w:rPr>
          <w:rFonts w:ascii="Times New Roman" w:hAnsi="Times New Roman" w:cs="Times New Roman"/>
          <w:sz w:val="24"/>
          <w:szCs w:val="24"/>
        </w:rPr>
        <w:t>-</w:t>
      </w:r>
      <w:r w:rsidR="00350C11" w:rsidRPr="00350C11">
        <w:rPr>
          <w:rFonts w:ascii="Times New Roman" w:hAnsi="Times New Roman" w:cs="Times New Roman"/>
          <w:sz w:val="24"/>
          <w:szCs w:val="24"/>
        </w:rPr>
        <w:t xml:space="preserve"> осознанного временного отказа от цифровых устройств для восстановления психических ресурсов [</w:t>
      </w:r>
      <w:r w:rsidR="002D0E77">
        <w:rPr>
          <w:rFonts w:ascii="Times New Roman" w:hAnsi="Times New Roman" w:cs="Times New Roman"/>
          <w:sz w:val="24"/>
          <w:szCs w:val="24"/>
        </w:rPr>
        <w:t>2</w:t>
      </w:r>
      <w:r w:rsidR="00350C11" w:rsidRPr="00350C11">
        <w:rPr>
          <w:rFonts w:ascii="Times New Roman" w:hAnsi="Times New Roman" w:cs="Times New Roman"/>
          <w:sz w:val="24"/>
          <w:szCs w:val="24"/>
        </w:rPr>
        <w:t>].</w:t>
      </w:r>
    </w:p>
    <w:p w14:paraId="7FC10200" w14:textId="5D0DD6E0" w:rsid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 xml:space="preserve">Проблема информационного стресса и выгорания в цифровой среде активно исследуется в современной психологии. Классические теории выгорания (К. </w:t>
      </w:r>
      <w:proofErr w:type="spellStart"/>
      <w:r w:rsidRPr="00350C11">
        <w:rPr>
          <w:rFonts w:ascii="Times New Roman" w:hAnsi="Times New Roman" w:cs="Times New Roman"/>
          <w:sz w:val="24"/>
          <w:szCs w:val="24"/>
        </w:rPr>
        <w:t>Маслач</w:t>
      </w:r>
      <w:proofErr w:type="spellEnd"/>
      <w:r w:rsidRPr="00350C11">
        <w:rPr>
          <w:rFonts w:ascii="Times New Roman" w:hAnsi="Times New Roman" w:cs="Times New Roman"/>
          <w:sz w:val="24"/>
          <w:szCs w:val="24"/>
        </w:rPr>
        <w:t xml:space="preserve">) и информационного стресса (В.А. Бодров) остаются методологической основой [1, </w:t>
      </w:r>
      <w:r w:rsidR="002D0E77">
        <w:rPr>
          <w:rFonts w:ascii="Times New Roman" w:hAnsi="Times New Roman" w:cs="Times New Roman"/>
          <w:sz w:val="24"/>
          <w:szCs w:val="24"/>
        </w:rPr>
        <w:t>4</w:t>
      </w:r>
      <w:r w:rsidRPr="00350C11">
        <w:rPr>
          <w:rFonts w:ascii="Times New Roman" w:hAnsi="Times New Roman" w:cs="Times New Roman"/>
          <w:sz w:val="24"/>
          <w:szCs w:val="24"/>
        </w:rPr>
        <w:t>].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C11">
        <w:rPr>
          <w:rFonts w:ascii="Times New Roman" w:hAnsi="Times New Roman" w:cs="Times New Roman"/>
          <w:sz w:val="24"/>
          <w:szCs w:val="24"/>
        </w:rPr>
        <w:t>В. Куликов развил представления об информационной перегрузке как факторе нарушения эмоциональной регуляции [</w:t>
      </w:r>
      <w:r w:rsidR="002D0E77">
        <w:rPr>
          <w:rFonts w:ascii="Times New Roman" w:hAnsi="Times New Roman" w:cs="Times New Roman"/>
          <w:sz w:val="24"/>
          <w:szCs w:val="24"/>
        </w:rPr>
        <w:t>3</w:t>
      </w:r>
      <w:r w:rsidRPr="00350C11">
        <w:rPr>
          <w:rFonts w:ascii="Times New Roman" w:hAnsi="Times New Roman" w:cs="Times New Roman"/>
          <w:sz w:val="24"/>
          <w:szCs w:val="24"/>
        </w:rPr>
        <w:t>].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C11">
        <w:rPr>
          <w:rFonts w:ascii="Times New Roman" w:hAnsi="Times New Roman" w:cs="Times New Roman"/>
          <w:sz w:val="24"/>
          <w:szCs w:val="24"/>
        </w:rPr>
        <w:t>В. Чудова анализирует трансформацию когнитивных процессов под влиянием цифровой среды [5]. В последние годы растёт интерес к цифровому детоксу как практике медиа</w:t>
      </w:r>
      <w:r w:rsidR="00667E48">
        <w:rPr>
          <w:rFonts w:ascii="Times New Roman" w:hAnsi="Times New Roman" w:cs="Times New Roman"/>
          <w:sz w:val="24"/>
          <w:szCs w:val="24"/>
        </w:rPr>
        <w:t>-</w:t>
      </w:r>
      <w:r w:rsidRPr="00350C11">
        <w:rPr>
          <w:rFonts w:ascii="Times New Roman" w:hAnsi="Times New Roman" w:cs="Times New Roman"/>
          <w:sz w:val="24"/>
          <w:szCs w:val="24"/>
        </w:rPr>
        <w:t xml:space="preserve">сопротивления и восстановления контроля над вниманием [6]. Зарубежные исследования показывают эффективность структурированных программ цифрового детокса для снижения </w:t>
      </w:r>
      <w:proofErr w:type="spellStart"/>
      <w:r w:rsidRPr="00350C11">
        <w:rPr>
          <w:rFonts w:ascii="Times New Roman" w:hAnsi="Times New Roman" w:cs="Times New Roman"/>
          <w:sz w:val="24"/>
          <w:szCs w:val="24"/>
        </w:rPr>
        <w:t>техностресса</w:t>
      </w:r>
      <w:proofErr w:type="spellEnd"/>
      <w:r w:rsidRPr="00350C11">
        <w:rPr>
          <w:rFonts w:ascii="Times New Roman" w:hAnsi="Times New Roman" w:cs="Times New Roman"/>
          <w:sz w:val="24"/>
          <w:szCs w:val="24"/>
        </w:rPr>
        <w:t xml:space="preserve"> и повышения благополучия [7].</w:t>
      </w:r>
    </w:p>
    <w:p w14:paraId="032BF28F" w14:textId="69DDDF00" w:rsidR="00350C11" w:rsidRP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Цель: теоретически обосновать эффективность цифрового детокса как средства преодоления информационного стресса и снижения риска эмоционального выгорания.</w:t>
      </w:r>
    </w:p>
    <w:p w14:paraId="4804F865" w14:textId="77777777" w:rsidR="00350C11" w:rsidRP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Задачи:</w:t>
      </w:r>
    </w:p>
    <w:p w14:paraId="01BA0720" w14:textId="77777777" w:rsidR="00350C11" w:rsidRPr="00350C11" w:rsidRDefault="00350C11" w:rsidP="00DD58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проанализировать теоретические подходы к информационному стрессу и выгоранию;</w:t>
      </w:r>
    </w:p>
    <w:p w14:paraId="58B0053B" w14:textId="77777777" w:rsidR="00350C11" w:rsidRPr="00350C11" w:rsidRDefault="00350C11" w:rsidP="00DD58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раскрыть сущность и психологические механизмы цифрового детокса;</w:t>
      </w:r>
    </w:p>
    <w:p w14:paraId="73C58186" w14:textId="77777777" w:rsidR="00350C11" w:rsidRPr="00350C11" w:rsidRDefault="00350C11" w:rsidP="00DD58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систематизировать стратегии цифрового детокса;</w:t>
      </w:r>
    </w:p>
    <w:p w14:paraId="7B06E165" w14:textId="77777777" w:rsidR="00350C11" w:rsidRDefault="00350C11" w:rsidP="00DD58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разработать теоретическую модель его влияния на психоэмоциональное состояние.</w:t>
      </w:r>
    </w:p>
    <w:p w14:paraId="3B2C128E" w14:textId="3C60A809" w:rsid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В исследовании использованы теоретические методы: анализ и синтез научной литературы, системно-структурный анализ, теоретическое моделирование.</w:t>
      </w:r>
    </w:p>
    <w:p w14:paraId="30B3FDD5" w14:textId="4F4D390C" w:rsidR="00350C11" w:rsidRP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В результате анализа уточнено понятие «цифровой детокс» как осознанной, временной практики ограничения цифровых устройств для снижения информационной нагрузки и восстановления ресурсов [</w:t>
      </w:r>
      <w:r w:rsidR="002D0E77">
        <w:rPr>
          <w:rFonts w:ascii="Times New Roman" w:hAnsi="Times New Roman" w:cs="Times New Roman"/>
          <w:sz w:val="24"/>
          <w:szCs w:val="24"/>
        </w:rPr>
        <w:t>2</w:t>
      </w:r>
      <w:r w:rsidRPr="00350C11">
        <w:rPr>
          <w:rFonts w:ascii="Times New Roman" w:hAnsi="Times New Roman" w:cs="Times New Roman"/>
          <w:sz w:val="24"/>
          <w:szCs w:val="24"/>
        </w:rPr>
        <w:t>]. Выявлены психологические механизмы его воздействия: когнитивная разгрузка [1], восстановление внимания, нормализация сна, снижение социального сравнения [5], восстановление аутентичного опыта [6].</w:t>
      </w:r>
    </w:p>
    <w:p w14:paraId="04E81D6C" w14:textId="77777777" w:rsid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Предложена типология стратегий цифрового детокса (по степени, продолжительности, сфере применения) и разработана теоретическая модель взаимосвязи детокс-практик с динамикой стресса и выгорания. Модель включает предрасполагающие факторы, параметры интервенции, опосредующие механизмы (когнитивные, эмоциональные) и исходы (снижение стресса, формирование осознанного поведения). Теоретически обоснованы границы эффективности: риск «эффекта рикошета» при отсутствии навыков осознанного поведения [6] и зависимость от индивидуальных особенностей [7].</w:t>
      </w:r>
    </w:p>
    <w:p w14:paraId="02514346" w14:textId="0066DAE4" w:rsidR="00350C11" w:rsidRP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14:paraId="028E8450" w14:textId="77777777" w:rsidR="00350C11" w:rsidRDefault="00350C11" w:rsidP="00DD589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цифровой детокс эффективен для профилактики выгорания при условии формирования устойчивых навыков осознанного цифрового поведения;</w:t>
      </w:r>
    </w:p>
    <w:p w14:paraId="079AD997" w14:textId="452FD108" w:rsidR="00667E48" w:rsidRPr="00667E48" w:rsidRDefault="00667E48" w:rsidP="00DD5896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E48">
        <w:rPr>
          <w:rFonts w:ascii="Times New Roman" w:hAnsi="Times New Roman" w:cs="Times New Roman"/>
          <w:sz w:val="24"/>
          <w:szCs w:val="24"/>
        </w:rPr>
        <w:t>эффективность детокс-практик модулируется индивидуальными особенностями и контекстом реализации;</w:t>
      </w:r>
    </w:p>
    <w:p w14:paraId="3076A72A" w14:textId="77777777" w:rsidR="00350C11" w:rsidRPr="00350C11" w:rsidRDefault="00350C11" w:rsidP="00DD589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lastRenderedPageBreak/>
        <w:t>необходима интеграция практик цифрового детокса в образовательные и корпоративные программы.</w:t>
      </w:r>
    </w:p>
    <w:p w14:paraId="7B5AD44E" w14:textId="1C722D2F" w:rsidR="000F226D" w:rsidRP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Теоретическая значимость исследования заключается в систематизации представлений о психологических механизмах влияния цифрового детокса на преодоление информационного стресса и профилактику эмоционального выгорания.</w:t>
      </w:r>
    </w:p>
    <w:p w14:paraId="067E63B2" w14:textId="77777777" w:rsidR="00350C11" w:rsidRPr="00DD5896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896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3F8BE730" w14:textId="4AE3EB85" w:rsidR="00350C11" w:rsidRPr="00350C11" w:rsidRDefault="00785A4B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4B">
        <w:rPr>
          <w:rFonts w:ascii="Times New Roman" w:hAnsi="Times New Roman" w:cs="Times New Roman"/>
          <w:sz w:val="24"/>
          <w:szCs w:val="24"/>
        </w:rPr>
        <w:t xml:space="preserve">Бодров В. А. Информационный стресс / В.А. Бодров. — </w:t>
      </w:r>
      <w:proofErr w:type="gramStart"/>
      <w:r w:rsidRPr="00785A4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8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A4B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78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A4B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85A4B">
        <w:rPr>
          <w:rFonts w:ascii="Times New Roman" w:hAnsi="Times New Roman" w:cs="Times New Roman"/>
          <w:sz w:val="24"/>
          <w:szCs w:val="24"/>
        </w:rPr>
        <w:t xml:space="preserve">, 2000. — 351 с. ил.; 20. — (Современное образование) </w:t>
      </w:r>
      <w:r w:rsidR="00350C11" w:rsidRPr="00350C11">
        <w:rPr>
          <w:rFonts w:ascii="Times New Roman" w:hAnsi="Times New Roman" w:cs="Times New Roman"/>
          <w:sz w:val="24"/>
          <w:szCs w:val="24"/>
        </w:rPr>
        <w:t>— С. 45–57.</w:t>
      </w:r>
    </w:p>
    <w:p w14:paraId="7302EC59" w14:textId="07098494" w:rsidR="00350C11" w:rsidRPr="00350C11" w:rsidRDefault="00350C11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Демиденко А. Цифровой детокс</w:t>
      </w:r>
      <w:proofErr w:type="gramStart"/>
      <w:r w:rsidRPr="00350C11">
        <w:rPr>
          <w:rFonts w:ascii="Times New Roman" w:hAnsi="Times New Roman" w:cs="Times New Roman"/>
          <w:sz w:val="24"/>
          <w:szCs w:val="24"/>
        </w:rPr>
        <w:t>:</w:t>
      </w:r>
      <w:r w:rsidR="001B536A">
        <w:rPr>
          <w:rFonts w:ascii="Times New Roman" w:hAnsi="Times New Roman" w:cs="Times New Roman"/>
          <w:sz w:val="24"/>
          <w:szCs w:val="24"/>
        </w:rPr>
        <w:t xml:space="preserve"> </w:t>
      </w:r>
      <w:r w:rsidRPr="00350C1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350C11">
        <w:rPr>
          <w:rFonts w:ascii="Times New Roman" w:hAnsi="Times New Roman" w:cs="Times New Roman"/>
          <w:sz w:val="24"/>
          <w:szCs w:val="24"/>
        </w:rPr>
        <w:t xml:space="preserve"> вернуть контроль и освободить время для жизни. — М.: </w:t>
      </w:r>
      <w:proofErr w:type="spellStart"/>
      <w:r w:rsidRPr="00350C11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350C11">
        <w:rPr>
          <w:rFonts w:ascii="Times New Roman" w:hAnsi="Times New Roman" w:cs="Times New Roman"/>
          <w:sz w:val="24"/>
          <w:szCs w:val="24"/>
        </w:rPr>
        <w:t>, 2024. — 156 с.</w:t>
      </w:r>
    </w:p>
    <w:p w14:paraId="523215AE" w14:textId="3FAF27D9" w:rsidR="00350C11" w:rsidRDefault="002D0E77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77">
        <w:rPr>
          <w:rFonts w:ascii="Times New Roman" w:hAnsi="Times New Roman" w:cs="Times New Roman"/>
          <w:sz w:val="24"/>
          <w:szCs w:val="24"/>
        </w:rPr>
        <w:t>Куликов Л. В. Социально-психологические аспекты влияния СМИ на сознание // Вестник Санкт-Петербургского университета. Серия 12. Психология. Социология. Педагогика. - 2011. - №1. - С. 3-12.</w:t>
      </w:r>
    </w:p>
    <w:p w14:paraId="35004554" w14:textId="02D6E742" w:rsidR="001B536A" w:rsidRPr="001B536A" w:rsidRDefault="001B536A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C11">
        <w:rPr>
          <w:rFonts w:ascii="Times New Roman" w:hAnsi="Times New Roman" w:cs="Times New Roman"/>
          <w:sz w:val="24"/>
          <w:szCs w:val="24"/>
        </w:rPr>
        <w:t>Маслач</w:t>
      </w:r>
      <w:proofErr w:type="spellEnd"/>
      <w:r w:rsidRPr="00350C11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350C11">
        <w:rPr>
          <w:rFonts w:ascii="Times New Roman" w:hAnsi="Times New Roman" w:cs="Times New Roman"/>
          <w:sz w:val="24"/>
          <w:szCs w:val="24"/>
        </w:rPr>
        <w:t>Лейтер</w:t>
      </w:r>
      <w:proofErr w:type="spellEnd"/>
      <w:r w:rsidRPr="00350C11">
        <w:rPr>
          <w:rFonts w:ascii="Times New Roman" w:hAnsi="Times New Roman" w:cs="Times New Roman"/>
          <w:sz w:val="24"/>
          <w:szCs w:val="24"/>
        </w:rPr>
        <w:t xml:space="preserve"> М. Понимание выгорания: современные перспективы // Психология стресса: хрестоматия / под ред. А.А. </w:t>
      </w:r>
      <w:proofErr w:type="spellStart"/>
      <w:r w:rsidRPr="00350C11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350C11">
        <w:rPr>
          <w:rFonts w:ascii="Times New Roman" w:hAnsi="Times New Roman" w:cs="Times New Roman"/>
          <w:sz w:val="24"/>
          <w:szCs w:val="24"/>
        </w:rPr>
        <w:t>. — СПб.: Прайм-ЕВРОЗНАК, 2021. — С. 215–238.</w:t>
      </w:r>
    </w:p>
    <w:p w14:paraId="66769E15" w14:textId="77777777" w:rsidR="00350C11" w:rsidRPr="00350C11" w:rsidRDefault="00350C11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C11">
        <w:rPr>
          <w:rFonts w:ascii="Times New Roman" w:hAnsi="Times New Roman" w:cs="Times New Roman"/>
          <w:sz w:val="24"/>
          <w:szCs w:val="24"/>
        </w:rPr>
        <w:t>Чудова Н.В. Личность в цифровой среде: трансформация когнитивных процессов и ценностно-смысловой сферы // Психологические исследования. — 2022. — Т. 15, № 85. — С. 8–15.</w:t>
      </w:r>
    </w:p>
    <w:p w14:paraId="6F9B7EB7" w14:textId="77777777" w:rsidR="00350C11" w:rsidRPr="00350C11" w:rsidRDefault="00350C11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C11">
        <w:rPr>
          <w:rFonts w:ascii="Times New Roman" w:hAnsi="Times New Roman" w:cs="Times New Roman"/>
          <w:sz w:val="24"/>
          <w:szCs w:val="24"/>
          <w:lang w:val="en-US"/>
        </w:rPr>
        <w:t>Syvertsen T., Enli G. Digital detox: Media resistance and the promise of authenticity // Convergence. — 2019. — Vol. 25, № 5. — P. 1354–8565.</w:t>
      </w:r>
    </w:p>
    <w:p w14:paraId="6325F9AC" w14:textId="6A314804" w:rsidR="00350C11" w:rsidRPr="00350C11" w:rsidRDefault="00350C11" w:rsidP="00DD589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C11">
        <w:rPr>
          <w:rFonts w:ascii="Times New Roman" w:hAnsi="Times New Roman" w:cs="Times New Roman"/>
          <w:sz w:val="24"/>
          <w:szCs w:val="24"/>
          <w:lang w:val="en-US"/>
        </w:rPr>
        <w:t>Cha S.S., Seo B.K. Digital disconnection psychology: Impact on workplace wellbeing and productivity // Journal of Wellbeing Management and Applied Psychology. — 2025. — Vol. 8, № 2. — P. 39–47.</w:t>
      </w:r>
    </w:p>
    <w:p w14:paraId="57AA9077" w14:textId="77777777" w:rsidR="00350C11" w:rsidRPr="00350C11" w:rsidRDefault="00350C11" w:rsidP="00D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50C11" w:rsidRPr="00350C11" w:rsidSect="004A06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D69"/>
    <w:multiLevelType w:val="multilevel"/>
    <w:tmpl w:val="F96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C3532"/>
    <w:multiLevelType w:val="multilevel"/>
    <w:tmpl w:val="EB86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D6FEA"/>
    <w:multiLevelType w:val="multilevel"/>
    <w:tmpl w:val="5922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B71EC"/>
    <w:multiLevelType w:val="multilevel"/>
    <w:tmpl w:val="5A587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834B2"/>
    <w:multiLevelType w:val="hybridMultilevel"/>
    <w:tmpl w:val="775CA7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937B7F"/>
    <w:multiLevelType w:val="multilevel"/>
    <w:tmpl w:val="FAF6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D4059"/>
    <w:multiLevelType w:val="multilevel"/>
    <w:tmpl w:val="D318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4565B"/>
    <w:multiLevelType w:val="multilevel"/>
    <w:tmpl w:val="4FFC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E73C3"/>
    <w:multiLevelType w:val="multilevel"/>
    <w:tmpl w:val="A5D4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62F03"/>
    <w:multiLevelType w:val="multilevel"/>
    <w:tmpl w:val="9F40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842B9"/>
    <w:multiLevelType w:val="multilevel"/>
    <w:tmpl w:val="E1C2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A1F54"/>
    <w:multiLevelType w:val="multilevel"/>
    <w:tmpl w:val="2974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571721">
    <w:abstractNumId w:val="4"/>
  </w:num>
  <w:num w:numId="2" w16cid:durableId="1726444315">
    <w:abstractNumId w:val="6"/>
  </w:num>
  <w:num w:numId="3" w16cid:durableId="820386875">
    <w:abstractNumId w:val="1"/>
  </w:num>
  <w:num w:numId="4" w16cid:durableId="1748457627">
    <w:abstractNumId w:val="10"/>
  </w:num>
  <w:num w:numId="5" w16cid:durableId="799616994">
    <w:abstractNumId w:val="9"/>
  </w:num>
  <w:num w:numId="6" w16cid:durableId="263457956">
    <w:abstractNumId w:val="0"/>
  </w:num>
  <w:num w:numId="7" w16cid:durableId="1806043158">
    <w:abstractNumId w:val="11"/>
  </w:num>
  <w:num w:numId="8" w16cid:durableId="309331783">
    <w:abstractNumId w:val="5"/>
  </w:num>
  <w:num w:numId="9" w16cid:durableId="676074945">
    <w:abstractNumId w:val="8"/>
  </w:num>
  <w:num w:numId="10" w16cid:durableId="961616789">
    <w:abstractNumId w:val="7"/>
  </w:num>
  <w:num w:numId="11" w16cid:durableId="903374281">
    <w:abstractNumId w:val="2"/>
  </w:num>
  <w:num w:numId="12" w16cid:durableId="118393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BA"/>
    <w:rsid w:val="00032857"/>
    <w:rsid w:val="00071C86"/>
    <w:rsid w:val="000A75C1"/>
    <w:rsid w:val="000C114C"/>
    <w:rsid w:val="000C6139"/>
    <w:rsid w:val="000F226D"/>
    <w:rsid w:val="001B536A"/>
    <w:rsid w:val="001D153A"/>
    <w:rsid w:val="002B6CBA"/>
    <w:rsid w:val="002D0E77"/>
    <w:rsid w:val="00322B60"/>
    <w:rsid w:val="00350C11"/>
    <w:rsid w:val="00357551"/>
    <w:rsid w:val="00412A40"/>
    <w:rsid w:val="00483984"/>
    <w:rsid w:val="004A0690"/>
    <w:rsid w:val="004B0C71"/>
    <w:rsid w:val="004B2DDE"/>
    <w:rsid w:val="004D4C2B"/>
    <w:rsid w:val="00524B56"/>
    <w:rsid w:val="00602FBF"/>
    <w:rsid w:val="00667E48"/>
    <w:rsid w:val="00701D66"/>
    <w:rsid w:val="00704BAD"/>
    <w:rsid w:val="00743F13"/>
    <w:rsid w:val="00785A4B"/>
    <w:rsid w:val="00887418"/>
    <w:rsid w:val="008A6EB0"/>
    <w:rsid w:val="008C7621"/>
    <w:rsid w:val="008F6D66"/>
    <w:rsid w:val="009937D0"/>
    <w:rsid w:val="009F57E6"/>
    <w:rsid w:val="00A112E3"/>
    <w:rsid w:val="00A608F6"/>
    <w:rsid w:val="00A706AD"/>
    <w:rsid w:val="00A73C94"/>
    <w:rsid w:val="00AA602F"/>
    <w:rsid w:val="00B0080A"/>
    <w:rsid w:val="00D51759"/>
    <w:rsid w:val="00DD5896"/>
    <w:rsid w:val="00DE00D1"/>
    <w:rsid w:val="00F9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5396"/>
  <w15:chartTrackingRefBased/>
  <w15:docId w15:val="{88AAB153-AEE7-4928-BC13-E7F9892B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C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 Милованова</dc:creator>
  <cp:keywords/>
  <dc:description/>
  <cp:lastModifiedBy>Деленьян Ангелина Владимировна</cp:lastModifiedBy>
  <cp:revision>18</cp:revision>
  <dcterms:created xsi:type="dcterms:W3CDTF">2026-03-19T20:20:00Z</dcterms:created>
  <dcterms:modified xsi:type="dcterms:W3CDTF">2026-04-10T09:35:00Z</dcterms:modified>
</cp:coreProperties>
</file>