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3E95D">
      <w:pPr>
        <w:spacing w:after="0" w:line="240" w:lineRule="auto"/>
        <w:ind w:left="1361" w:right="1361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  <w:t>Формировани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  <w:t xml:space="preserve"> инородной управы в высший орган самоуправления якутов в XIX в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» </w:t>
      </w:r>
    </w:p>
    <w:bookmarkEnd w:id="0"/>
    <w:p w14:paraId="0E725F84">
      <w:pPr>
        <w:spacing w:after="0" w:line="240" w:lineRule="auto"/>
        <w:ind w:left="1361" w:right="1361"/>
        <w:jc w:val="center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Скрябин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Дмитрий Иннокентьевич</w:t>
      </w:r>
    </w:p>
    <w:p w14:paraId="52211795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«Северо-Восточный федеральный университет им. М.К. Аммосова», Исторический факультет, аспирант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курса гр. А-</w:t>
      </w:r>
      <w:r>
        <w:rPr>
          <w:rFonts w:ascii="Times New Roman" w:hAnsi="Times New Roman" w:cs="Times New Roman"/>
          <w:sz w:val="24"/>
          <w:szCs w:val="24"/>
          <w:lang w:val="ru-RU"/>
        </w:rPr>
        <w:t>ОИ</w:t>
      </w:r>
      <w:r>
        <w:rPr>
          <w:rFonts w:ascii="Times New Roman" w:hAnsi="Times New Roman" w:cs="Times New Roman"/>
          <w:sz w:val="24"/>
          <w:szCs w:val="24"/>
        </w:rPr>
        <w:t>-25</w:t>
      </w:r>
    </w:p>
    <w:p w14:paraId="2819145C">
      <w:pPr>
        <w:spacing w:after="0" w:line="240" w:lineRule="auto"/>
        <w:ind w:left="1361" w:right="1361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E–mail: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midas7777777@mail.ru</w:t>
      </w:r>
    </w:p>
    <w:p w14:paraId="4B8D3F96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Инородной управы якутов целесообразно строится на сочетании трёх взаимодополняющих подходов  институционального анализа, социо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правового (правоприменительного) анализа и социально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профессионального анализа персонала. Такая комбинация соответствует характеру самого объекта  управа одновременно является учреждением, механизмом и «сообществом служащих», действующих между государством и местным населением.</w:t>
      </w:r>
    </w:p>
    <w:p w14:paraId="1E23398A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Институциональный подход предполагает рассмотрение управы как элемента административной системы, имеющего определённые компетенции, иерархию и документооборот. В рамках этой логики исследование отвечает на вопросы  какое место занимала управа в структуре местного управления; как она соотносилась с улусно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наслежной организацией и «мирскими» практиками; какие функции выполняла (управленческие, фискальные, хозяйственные, судебно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полицейские, посреднические). Опорой здесь выступают работы Ф.Г. Сафронова где рассматривается становление и эволюция улусов и наслегов в дореволюционный период, а также включение в административные единицы «бродячих инородцев» (эвенков, эвенов, юкагиров, чукчей)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[</w:t>
      </w:r>
      <w:r>
        <w:rPr>
          <w:rFonts w:hint="default" w:ascii="Times New Roman" w:hAnsi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/>
          <w:sz w:val="24"/>
          <w:szCs w:val="24"/>
        </w:rPr>
        <w:t>]. Институциональную «карту» для более широкого периода дополняют справочно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исторические и компилятивные труды Г.А. Попова (многотомные «Сочинения»)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[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/>
          <w:sz w:val="24"/>
          <w:szCs w:val="24"/>
        </w:rPr>
        <w:t>] и П.Л. Казаряна, позволяющие увязать реальные управленческие практики с территориальными и ведомственными изменениями[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/>
          <w:sz w:val="24"/>
          <w:szCs w:val="24"/>
        </w:rPr>
        <w:t>].</w:t>
      </w:r>
    </w:p>
    <w:p w14:paraId="182F67AC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Социально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историческая и социо-правовая перспектива, предложенная в качестве ключевой, задаётся исследования А.А. Борисова. Методологически здесь важны два положения. Первое  право рассматривается не только как система норм, но и как социальная практика — набор процедур, переговоров, санкций и компромиссов. Второе  колонизационный контекст изучается через изменения в статусах и повседневных стратегиях людей и групп, где инородная управа выступает «узлом» взаимодействия между локальным обществом и имперской властью[</w:t>
      </w:r>
      <w:r>
        <w:rPr>
          <w:rFonts w:hint="default" w:ascii="Times New Roman" w:hAnsi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/>
          <w:sz w:val="24"/>
          <w:szCs w:val="24"/>
        </w:rPr>
        <w:t>].</w:t>
      </w:r>
    </w:p>
    <w:p w14:paraId="02624570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С этим прямо связан анализ правовой базы и режимов управления «инородцами», прежде всего реформ начала XIX века и Устава 1822 года. Работы С.В. Кодана, М.М. Фёдорова, Н.И. Краснякова, а также исследования А.В. Ремнёва задают методологию, в которой различаются  нормативный замысел реформ (как государство «проектирует» управляемость), административная практика (как нормы реализуются в условиях расстояний, кадрового дефицита и локальных традиций) и фактические результаты (какие функции закрепляются за управами и какие конфликты они порождают или сглаживают). </w:t>
      </w:r>
    </w:p>
    <w:p w14:paraId="6C4CB170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Социально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профессиональный анализ кадров необходим, поскольку эффективность и характер деятельности управы во многом зависели от того, кто именно занимал должности, каким был их этнический и сословный фон, образовательный уровень и служебные траектории. Здесь методологически полезны исследования по социальной истории элит и чиновничества Б.Н. Миронов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[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] На якутском материале кадровый состав инородческого самоуправления предметно раскрыт П.В. Гоголевым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[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/>
          <w:sz w:val="24"/>
          <w:szCs w:val="24"/>
        </w:rPr>
        <w:t>], что даёт возможность применять просопографический метод  составление коллективных портретов служащих, выявление типичных карьерных маршрутов и механизмов рекрутирования (местное происхождение, связи с родовой знатью, участие в посредничестве между общинами и администрацией).</w:t>
      </w:r>
    </w:p>
    <w:p w14:paraId="74A60890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теоретико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методологические рамки дополняются анализом основных «функциональных контуров» деятельности управ, выделяемых в историографии и применимых к якутским реалиям.</w:t>
      </w:r>
    </w:p>
    <w:p w14:paraId="7428D450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 точки зрения посредничество между властью и населением, инородная управа трактуется как промежуточный институт, через который проходили коммуникации, жалобы, распоряжения и согласовательные практики. Этот ракурс развивают коллективная монография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[</w:t>
      </w:r>
      <w:r>
        <w:rPr>
          <w:rFonts w:hint="default" w:ascii="Times New Roman" w:hAnsi="Times New Roman"/>
          <w:sz w:val="24"/>
          <w:szCs w:val="24"/>
          <w:lang w:val="en-US"/>
        </w:rPr>
        <w:t>7]</w:t>
      </w:r>
      <w:r>
        <w:rPr>
          <w:rFonts w:hint="default" w:ascii="Times New Roman" w:hAnsi="Times New Roman"/>
          <w:sz w:val="24"/>
          <w:szCs w:val="24"/>
        </w:rPr>
        <w:t xml:space="preserve"> и работа А.А. Сулейманова о государственной власти и коренных народы Якутии[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/>
          <w:sz w:val="24"/>
          <w:szCs w:val="24"/>
        </w:rPr>
        <w:t>. Методологически здесь важно изучать не только конфликты, но и механизмы «согласования» — какие аргументы признавались легитимными, как оформлялись решения, какие практики переводили имперские нормы на язык местного обычая.</w:t>
      </w:r>
    </w:p>
    <w:p w14:paraId="3A4458E1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 позиции фискально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хозяйственной деятельности управы выполняли функции, связанные со сбором повинностей и регулированием хозяйственных процессов, включая формы ясака и переход от натуральных к денежным эквивалентам Ф.Г. Сафронов русские на северо-востоке Азии в XVII — середине XIX в.[</w:t>
      </w:r>
      <w:r>
        <w:rPr>
          <w:rFonts w:hint="default" w:ascii="Times New Roman" w:hAnsi="Times New Roman"/>
          <w:sz w:val="24"/>
          <w:szCs w:val="24"/>
          <w:lang w:val="en-US"/>
        </w:rPr>
        <w:t>9</w:t>
      </w:r>
      <w:r>
        <w:rPr>
          <w:rFonts w:hint="default" w:ascii="Times New Roman" w:hAnsi="Times New Roman"/>
          <w:sz w:val="24"/>
          <w:szCs w:val="24"/>
        </w:rPr>
        <w:t>] показывает значение форм управления в регулировании землепользования и скотоводства, что методологически подходит к анализу управы якутов как института экономической дисциплины и перераспределения, а не только «канцелярии».</w:t>
      </w:r>
    </w:p>
    <w:p w14:paraId="2371DAB6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свете судебной и правоприменительной практики, инородная управа функционировала в зоне пересечения обычного права и имперских правовых норм. Для методологии важно отделять «нормативное» от «практического» какие споры реально рассматривались, какие санкции применялись, где проходили границы компетенций. В.В. Карлов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[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7] </w:t>
      </w:r>
      <w:r>
        <w:rPr>
          <w:rFonts w:hint="default" w:ascii="Times New Roman" w:hAnsi="Times New Roman"/>
          <w:sz w:val="24"/>
          <w:szCs w:val="24"/>
        </w:rPr>
        <w:t>задаёт оптику анализа обычноправовых норм в деятельности учреждений.</w:t>
      </w:r>
    </w:p>
    <w:p w14:paraId="628B4062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плане культурно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просветительской и социальной функции, хотя они часто вторичны по отношению к фискальным и управленческим функциям, но историография подчёркивает участие инородных управ в процессах образования, поддержки миссионерских миссий и социальной помощи, а также ее роль в культурной трансформации в т.ч. через школы и переводческие практики затрагиваемые в трудах С.И. Боякова[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/>
          <w:sz w:val="24"/>
          <w:szCs w:val="24"/>
        </w:rPr>
        <w:t>], И.И. Юрганова[</w:t>
      </w:r>
      <w:r>
        <w:rPr>
          <w:rFonts w:hint="default" w:ascii="Times New Roman" w:hAnsi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/>
          <w:sz w:val="24"/>
          <w:szCs w:val="24"/>
        </w:rPr>
        <w:t>]. Методологически это позволяет видеть управу как участника изменений повседневности и норм поведения.</w:t>
      </w:r>
    </w:p>
    <w:p w14:paraId="1AF7625A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рамках системного подхода  инородные управы рассматриваются как элемента системы региональной администрации, посредством анализа взаимосвязей между различными уровнями власти.</w:t>
      </w:r>
    </w:p>
    <w:p w14:paraId="3A906C71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Структурно-функциональный методе  изучается структура управ и их функциональные изменения, происходит  анализ распределения полномочий</w:t>
      </w:r>
    </w:p>
    <w:p w14:paraId="41AB2C20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контексте историко-сравнительного метода, происходит сравнение деятельности управ до и после 1838 г., сравнение якутской модели с другими регионами Сибири</w:t>
      </w:r>
    </w:p>
    <w:p w14:paraId="59697791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рамках историко-типологического метода рассматривается типология инородных управ по этническому составу и классификация функций и полномочий на разных этапах.</w:t>
      </w:r>
    </w:p>
    <w:p w14:paraId="40E90203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рамках данного проблемно-хронологического метода последовательно изучается проблема по хронологическим этапам 1822–1827, 1827–1838, 1838-1854 и после 1854 г. выявляются изменения в каждом периоде.</w:t>
      </w:r>
    </w:p>
    <w:p w14:paraId="6160BC69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Ретроспективный метод предполагает изучение более поздних источников для понимания ранних этапов, а также реконструкцию практик деятельности управ.</w:t>
      </w:r>
    </w:p>
    <w:p w14:paraId="3E144040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Историко-системный метод, анализ инородных управ как части системы управления национальными окраинами, изучение взаимодействия с областной администрацией</w:t>
      </w:r>
    </w:p>
    <w:p w14:paraId="45710392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Метод источниковедческого анализа предусматривает внешнюю и внутреннюю критику делопроизводственных документов. Также анализ отчетов инородных управ и областной администрации.</w:t>
      </w:r>
    </w:p>
    <w:p w14:paraId="0673E091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Метод источниковедческого синтеза подразумевает сопоставление данных из разных типов источников и их верификацию.</w:t>
      </w:r>
    </w:p>
    <w:p w14:paraId="2E213150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сумме выбранная теоретико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методологическая основа позволяет исследовать Инородную управу якутов как динамический институт  возникший в логике имперских реформ (включая Устав 1822 г.), но действовавший в условиях сильной традиционной основы (улус, наслег, тойонат, обычное право). Сочетание институционального, правового и социально</w:t>
      </w:r>
      <w:r>
        <w:rPr>
          <w:rFonts w:hint="default" w:ascii="Times New Roman" w:hAnsi="Times New Roman"/>
          <w:sz w:val="24"/>
          <w:szCs w:val="24"/>
        </w:rPr>
        <w:noBreakHyphen/>
      </w:r>
      <w:r>
        <w:rPr>
          <w:rFonts w:hint="default" w:ascii="Times New Roman" w:hAnsi="Times New Roman"/>
          <w:sz w:val="24"/>
          <w:szCs w:val="24"/>
        </w:rPr>
        <w:t>профессионального анализа делает возможным связать структуру управы, её практики и людской ресурс с более широкими процессами трансформации якутского общества в XVII — середине XIX века, что соответствует постановке проблемы в социальной истории, представленной в работах А.А. Борисова и других исследователей.</w:t>
      </w:r>
    </w:p>
    <w:p w14:paraId="08630B64">
      <w:pPr>
        <w:spacing w:after="0" w:line="240" w:lineRule="auto"/>
        <w:ind w:left="1361" w:right="1361" w:firstLine="708"/>
        <w:jc w:val="both"/>
        <w:rPr>
          <w:rFonts w:hint="default" w:ascii="Times New Roman" w:hAnsi="Times New Roman"/>
          <w:sz w:val="24"/>
          <w:szCs w:val="24"/>
        </w:rPr>
      </w:pPr>
    </w:p>
    <w:p w14:paraId="52C55AD4">
      <w:pPr>
        <w:spacing w:after="0" w:line="240" w:lineRule="auto"/>
        <w:ind w:left="1361" w:right="1361" w:firstLine="708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Литература</w:t>
      </w:r>
    </w:p>
    <w:p w14:paraId="1DA0F3FB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Астахова, И. С. Власть и коренные малочисленные народы Севера  опыт взаимодействия на примере Республики Саха (Якутия) / И. С. Астахова // Арктика и Север. – 2011. – № 3. – С. 88-95.</w:t>
      </w:r>
    </w:p>
    <w:p w14:paraId="064171B6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Борисов А. А. (д-р ист. наук) Социальная история якутов в XVII - 50-х гг. XIX в.  общество, право, личность в условиях российской колонизации Автореф. дис. на соиск. учен. степ. д.ист.н., Спец. 07.00.02 / Борисов Андриан Афанасьевич; [Ин-т гуманитар. исслед. Акад. наук Респ. Саха (Якутия)]. — Якутск 2004. — 43 c.</w:t>
      </w:r>
    </w:p>
    <w:p w14:paraId="740EC7CE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Боякова, С. И. Миссионерская деятельность Русской православной церкви на Северо-Востоке Азии в XIX - начале XX века / С. И. Боякова, кандидат исторических наук, руководитель центра ИГИ АН РС (Я) // Якутский архив. – 2003. – N 3-4 (11). – С. 134-137.</w:t>
      </w:r>
    </w:p>
    <w:p w14:paraId="77989343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Гоголев П В. Местное самоуправление в Республике Саха, Якутия   Эволюция муниципальных институтов и проблемы их правового регулирования   диссертация ... кандидата юридических наук   12.00.02. — Москва, 2001. — 235 с.</w:t>
      </w:r>
    </w:p>
    <w:p w14:paraId="32BAAA28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>Казарян П. Л. Административное устройство, гражданское, военное, горное и церковное управление Ленского (Якутского) края, 1629-1917 справочник / П. Л. Казарян; Министерство науки и высшего образования Российской Федерации, Северо-Восточный федеральный университет имени М. К. Аммосова. — Якутск   Издательский дом СВФУ, 2020. — 751 с.</w:t>
      </w:r>
    </w:p>
    <w:p w14:paraId="4C3D1A52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Миронов Б. Н.. Социальная история России периода империи (XVIII-XX в.). Т. 1  Генезис личности, демократической семьи, гражданского общества и правового государства. Т. 1. - 2003 (ГИПП Искусство России). - 547 с.</w:t>
      </w:r>
    </w:p>
    <w:p w14:paraId="28534E8D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color w:val="222222"/>
          <w:sz w:val="24"/>
          <w:szCs w:val="24"/>
          <w:shd w:val="clear" w:color="auto" w:fill="FFFFFF"/>
        </w:rPr>
        <w:t>Обычное право народов Сибири   (Буряты, якуты, эвенки, алтайцы, шорцы)   [Сборник] / Рос. акад. наук, Центр по изучению межнац. отношений Ин-та этнологии и антропологии им. Н. Н. Миклухо-Маклая; Сост. и авт. коммент. В. В. Карлов; Под ред. Ю. И. Семенова. - Москва   Старый сад, 1997. - 396 с.</w:t>
      </w:r>
    </w:p>
    <w:p w14:paraId="7629D32E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Попов Г.А. Сочинения. Том 4. Прошлое Якутии. Сб. док. и мат. по истории Якутской АССР. Отв. ред. Л.Н. Жукова, Е.П. Антонов. Якутск, 2009. 480 с.</w:t>
      </w:r>
    </w:p>
    <w:p w14:paraId="37705197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color w:val="000000"/>
          <w:sz w:val="24"/>
          <w:szCs w:val="24"/>
        </w:rPr>
        <w:t xml:space="preserve">Сафронов Ф. Г. Русские на северо-востоке Азии в ХVII - середине ХIХ в.   управление, служилые люди, крестьяне, городское население ; Акад. наук СССР, Якут. фил. Сиб. отд-ния, Ин-т яз., лит. и истории. - Москва   Наука, 1978. - 257 с. </w:t>
      </w:r>
    </w:p>
    <w:p w14:paraId="578900E0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Сафронов Ф. Г. Якуты. Мирское управление в XVII - нач. XX века / Ф. Г. Сафронов ; [отв. ред. д. ист. н. В. Н. Иванов] ; Акад. наук СССР, Сиб. отд-ние, Якут. фил., Ин-т яз., лит. и истории. - Якутск   Якутское книжное изд-во, 1987. - 126 с.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- 1</w:t>
      </w:r>
    </w:p>
    <w:p w14:paraId="3161048C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Юрганова, И. И. Деятельность Русской православной церкви в Якутском крае  инкорпорация в русскую государственность (XVII - нач. XX вв.)   автореферат диссертации на соискание ученой степени доктора исторических наук   специальность 07.00.02 / Юрганова Инна Игоревна ; [Место защиты  Иркут. гос. ун-т]. - Иркутск, 2017. -42 с.</w:t>
      </w:r>
    </w:p>
    <w:p w14:paraId="789B492E">
      <w:pPr>
        <w:numPr>
          <w:ilvl w:val="0"/>
          <w:numId w:val="1"/>
        </w:numPr>
        <w:spacing w:after="0" w:line="240" w:lineRule="auto"/>
        <w:ind w:left="1361" w:right="1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color w:val="000000"/>
          <w:sz w:val="24"/>
          <w:szCs w:val="24"/>
        </w:rPr>
        <w:t>Якутия в условиях реформирования системы управления имперскими окраинами (XVIII-XX вв.) = Yakutia and reforms of imperial margins public administration (XVIII-the beginning of the XX century)   монография / А. И. Архипова, А. А. Борисов, Н. И. Бурнашева [и др.] ; ответственный редактор А. А. Борисов ; рецензенты  С. И. Боякова, Ю. М. Гончаров, Б. Н. Миронов ; Федеральный исследовательский центр "Якутский научный центр Сибирского отделения Российской академии наук", Институт гуманитарных исследований и проблем малочисленных народов Севера. - Иркутск   Оттиск, 2020. - 267 с.</w:t>
      </w:r>
    </w:p>
    <w:p w14:paraId="4E9E6BB0">
      <w:pPr>
        <w:spacing w:after="0" w:line="240" w:lineRule="auto"/>
        <w:ind w:left="1361" w:right="1361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0F56E"/>
    <w:multiLevelType w:val="singleLevel"/>
    <w:tmpl w:val="FFD0F5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8D"/>
    <w:rsid w:val="00006F16"/>
    <w:rsid w:val="00042358"/>
    <w:rsid w:val="000A18D4"/>
    <w:rsid w:val="000B54E2"/>
    <w:rsid w:val="000B6B86"/>
    <w:rsid w:val="000D2E42"/>
    <w:rsid w:val="000D45A7"/>
    <w:rsid w:val="000D4E32"/>
    <w:rsid w:val="000D6569"/>
    <w:rsid w:val="0010252D"/>
    <w:rsid w:val="00124F52"/>
    <w:rsid w:val="00161492"/>
    <w:rsid w:val="0016588D"/>
    <w:rsid w:val="001C4A09"/>
    <w:rsid w:val="001D5FC6"/>
    <w:rsid w:val="001E04DA"/>
    <w:rsid w:val="001E23D3"/>
    <w:rsid w:val="00210429"/>
    <w:rsid w:val="0022617A"/>
    <w:rsid w:val="00233E48"/>
    <w:rsid w:val="00255246"/>
    <w:rsid w:val="00264671"/>
    <w:rsid w:val="00272446"/>
    <w:rsid w:val="00272EC2"/>
    <w:rsid w:val="00283CE5"/>
    <w:rsid w:val="00285CA5"/>
    <w:rsid w:val="00290EDB"/>
    <w:rsid w:val="00291A1C"/>
    <w:rsid w:val="002B1868"/>
    <w:rsid w:val="002C2E00"/>
    <w:rsid w:val="002D0CF3"/>
    <w:rsid w:val="00317530"/>
    <w:rsid w:val="00350B77"/>
    <w:rsid w:val="003705F6"/>
    <w:rsid w:val="00391BE1"/>
    <w:rsid w:val="0039756A"/>
    <w:rsid w:val="003F1B98"/>
    <w:rsid w:val="00402CBD"/>
    <w:rsid w:val="00445997"/>
    <w:rsid w:val="004531A5"/>
    <w:rsid w:val="00460F15"/>
    <w:rsid w:val="00475916"/>
    <w:rsid w:val="0048436F"/>
    <w:rsid w:val="0049065D"/>
    <w:rsid w:val="004A180D"/>
    <w:rsid w:val="004B47DB"/>
    <w:rsid w:val="00505A79"/>
    <w:rsid w:val="00515870"/>
    <w:rsid w:val="00533C9A"/>
    <w:rsid w:val="00536872"/>
    <w:rsid w:val="005950E2"/>
    <w:rsid w:val="005A1845"/>
    <w:rsid w:val="005B2594"/>
    <w:rsid w:val="005C534F"/>
    <w:rsid w:val="005C7717"/>
    <w:rsid w:val="005D32FF"/>
    <w:rsid w:val="006151D2"/>
    <w:rsid w:val="006234F6"/>
    <w:rsid w:val="00625AD4"/>
    <w:rsid w:val="00656F5C"/>
    <w:rsid w:val="006662DD"/>
    <w:rsid w:val="0067108F"/>
    <w:rsid w:val="006B21AD"/>
    <w:rsid w:val="006D4B17"/>
    <w:rsid w:val="006E1443"/>
    <w:rsid w:val="006E4D8C"/>
    <w:rsid w:val="006F6F80"/>
    <w:rsid w:val="006F7107"/>
    <w:rsid w:val="0071406E"/>
    <w:rsid w:val="007644E7"/>
    <w:rsid w:val="00777553"/>
    <w:rsid w:val="00792A8D"/>
    <w:rsid w:val="007B22CE"/>
    <w:rsid w:val="007C32F3"/>
    <w:rsid w:val="007D0170"/>
    <w:rsid w:val="0083556A"/>
    <w:rsid w:val="00841CAA"/>
    <w:rsid w:val="00842C76"/>
    <w:rsid w:val="00883342"/>
    <w:rsid w:val="0089156E"/>
    <w:rsid w:val="008A00FE"/>
    <w:rsid w:val="008A744B"/>
    <w:rsid w:val="008D49F5"/>
    <w:rsid w:val="008E4093"/>
    <w:rsid w:val="008E5723"/>
    <w:rsid w:val="008E661F"/>
    <w:rsid w:val="00911B96"/>
    <w:rsid w:val="00913A77"/>
    <w:rsid w:val="009151DF"/>
    <w:rsid w:val="00921236"/>
    <w:rsid w:val="00936C95"/>
    <w:rsid w:val="00941A2D"/>
    <w:rsid w:val="009E0653"/>
    <w:rsid w:val="00A3464B"/>
    <w:rsid w:val="00A400E2"/>
    <w:rsid w:val="00A54F00"/>
    <w:rsid w:val="00A66AB5"/>
    <w:rsid w:val="00A74F9F"/>
    <w:rsid w:val="00A81CBE"/>
    <w:rsid w:val="00A8244B"/>
    <w:rsid w:val="00AA2A94"/>
    <w:rsid w:val="00AC09A4"/>
    <w:rsid w:val="00AF1FA6"/>
    <w:rsid w:val="00AF5C78"/>
    <w:rsid w:val="00B50B7F"/>
    <w:rsid w:val="00B51140"/>
    <w:rsid w:val="00B51595"/>
    <w:rsid w:val="00B54C93"/>
    <w:rsid w:val="00B67A0D"/>
    <w:rsid w:val="00B8060F"/>
    <w:rsid w:val="00BB21EC"/>
    <w:rsid w:val="00BB39B1"/>
    <w:rsid w:val="00BE2794"/>
    <w:rsid w:val="00BE48BF"/>
    <w:rsid w:val="00C04364"/>
    <w:rsid w:val="00C12AB4"/>
    <w:rsid w:val="00C14A7D"/>
    <w:rsid w:val="00C70EBF"/>
    <w:rsid w:val="00C728AB"/>
    <w:rsid w:val="00C93FB4"/>
    <w:rsid w:val="00C94F57"/>
    <w:rsid w:val="00CC5BD4"/>
    <w:rsid w:val="00CC75CB"/>
    <w:rsid w:val="00CD7C7A"/>
    <w:rsid w:val="00CE2FB8"/>
    <w:rsid w:val="00D1390E"/>
    <w:rsid w:val="00D16F18"/>
    <w:rsid w:val="00D2155D"/>
    <w:rsid w:val="00D23EC3"/>
    <w:rsid w:val="00D25666"/>
    <w:rsid w:val="00D33FC0"/>
    <w:rsid w:val="00D34A42"/>
    <w:rsid w:val="00DB7021"/>
    <w:rsid w:val="00DE4B28"/>
    <w:rsid w:val="00E430AD"/>
    <w:rsid w:val="00E56AA7"/>
    <w:rsid w:val="00E57F01"/>
    <w:rsid w:val="00EA0489"/>
    <w:rsid w:val="00EA1E03"/>
    <w:rsid w:val="00EB0496"/>
    <w:rsid w:val="00EB2012"/>
    <w:rsid w:val="00ED2A05"/>
    <w:rsid w:val="00EF1C26"/>
    <w:rsid w:val="00F04063"/>
    <w:rsid w:val="00F5704B"/>
    <w:rsid w:val="00F62A26"/>
    <w:rsid w:val="00FA4649"/>
    <w:rsid w:val="00FB4973"/>
    <w:rsid w:val="00FD722D"/>
    <w:rsid w:val="00FE30CE"/>
    <w:rsid w:val="3AC577DB"/>
    <w:rsid w:val="590D0C6E"/>
    <w:rsid w:val="796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738</Words>
  <Characters>4211</Characters>
  <Lines>35</Lines>
  <Paragraphs>9</Paragraphs>
  <TotalTime>0</TotalTime>
  <ScaleCrop>false</ScaleCrop>
  <LinksUpToDate>false</LinksUpToDate>
  <CharactersWithSpaces>4940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2026-03-02T03:21:00Z</dcterms:created>
  <dc:creator>ulk520futji1</dc:creator>
  <cp:lastModifiedBy>Kafedra</cp:lastModifiedBy>
  <dcterms:modified xsi:type="dcterms:W3CDTF">2026-03-04T03:42:55Z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6D78BD1338584E82890F71A460B552A1_12</vt:lpwstr>
  </property>
</Properties>
</file>