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C3233" w14:textId="19F4945D" w:rsidR="004179CB" w:rsidRDefault="00000000" w:rsidP="004179CB">
      <w:pPr>
        <w:pStyle w:val="Stnadard"/>
        <w:spacing w:after="0"/>
        <w:ind w:leftChars="-200" w:left="-400" w:firstLineChars="214" w:firstLine="51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О формуляре царских наказных грамот воеводам при назначении их в Якутский уезд </w:t>
      </w:r>
      <w:r>
        <w:rPr>
          <w:b/>
          <w:bCs/>
          <w:sz w:val="24"/>
          <w:lang w:val="en-US" w:eastAsia="zh-CN"/>
        </w:rPr>
        <w:t>XVII</w:t>
      </w:r>
      <w:r w:rsidRPr="004179CB">
        <w:rPr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в. </w:t>
      </w:r>
    </w:p>
    <w:p w14:paraId="2F6D7359" w14:textId="77777777" w:rsidR="00C25AF5" w:rsidRPr="004179CB" w:rsidRDefault="00000000">
      <w:pPr>
        <w:pStyle w:val="Stnadard"/>
        <w:spacing w:after="0"/>
        <w:ind w:leftChars="-200" w:left="-400" w:firstLineChars="214" w:firstLine="516"/>
        <w:jc w:val="center"/>
        <w:rPr>
          <w:b/>
          <w:bCs/>
          <w:i/>
          <w:iCs/>
          <w:sz w:val="24"/>
          <w:lang w:eastAsia="zh-CN"/>
        </w:rPr>
      </w:pPr>
      <w:r w:rsidRPr="004179CB">
        <w:rPr>
          <w:b/>
          <w:bCs/>
          <w:i/>
          <w:iCs/>
          <w:sz w:val="24"/>
          <w:lang w:eastAsia="zh-CN"/>
        </w:rPr>
        <w:t>Борисов Арсений Андрианович</w:t>
      </w:r>
    </w:p>
    <w:p w14:paraId="0F399E41" w14:textId="77777777" w:rsidR="00C25AF5" w:rsidRPr="004179CB" w:rsidRDefault="00000000">
      <w:pPr>
        <w:pStyle w:val="Stnadard"/>
        <w:spacing w:after="0"/>
        <w:ind w:leftChars="-200" w:left="-400" w:firstLineChars="214" w:firstLine="514"/>
        <w:jc w:val="center"/>
        <w:rPr>
          <w:i/>
          <w:iCs/>
          <w:sz w:val="24"/>
          <w:lang w:eastAsia="zh-CN"/>
        </w:rPr>
      </w:pPr>
      <w:r w:rsidRPr="004179CB">
        <w:rPr>
          <w:i/>
          <w:iCs/>
          <w:sz w:val="24"/>
          <w:lang w:eastAsia="zh-CN"/>
        </w:rPr>
        <w:t>Студент</w:t>
      </w:r>
    </w:p>
    <w:p w14:paraId="23808489" w14:textId="77777777" w:rsidR="00C25AF5" w:rsidRPr="004179CB" w:rsidRDefault="00000000">
      <w:pPr>
        <w:pStyle w:val="Stnadard"/>
        <w:spacing w:after="0"/>
        <w:ind w:leftChars="-200" w:left="-400" w:firstLineChars="214" w:firstLine="514"/>
        <w:jc w:val="center"/>
        <w:rPr>
          <w:i/>
          <w:iCs/>
          <w:sz w:val="24"/>
          <w:lang w:eastAsia="zh-CN"/>
        </w:rPr>
      </w:pPr>
      <w:r w:rsidRPr="004179CB">
        <w:rPr>
          <w:i/>
          <w:iCs/>
          <w:sz w:val="24"/>
          <w:lang w:eastAsia="zh-CN"/>
        </w:rPr>
        <w:t>ФГАОУ ВО «Северо-Восточный федеральный университет им. М.К. Аммосова»,</w:t>
      </w:r>
    </w:p>
    <w:p w14:paraId="62D21C90" w14:textId="77777777" w:rsidR="00C25AF5" w:rsidRPr="004179CB" w:rsidRDefault="00000000">
      <w:pPr>
        <w:pStyle w:val="Stnadard"/>
        <w:spacing w:after="0"/>
        <w:ind w:leftChars="-200" w:left="-400" w:firstLineChars="214" w:firstLine="514"/>
        <w:jc w:val="center"/>
        <w:rPr>
          <w:i/>
          <w:iCs/>
          <w:sz w:val="24"/>
          <w:lang w:eastAsia="zh-CN"/>
        </w:rPr>
      </w:pPr>
      <w:r w:rsidRPr="004179CB">
        <w:rPr>
          <w:i/>
          <w:iCs/>
          <w:sz w:val="24"/>
          <w:lang w:eastAsia="zh-CN"/>
        </w:rPr>
        <w:t>Исторический факультет, Якутск, Россия</w:t>
      </w:r>
    </w:p>
    <w:p w14:paraId="0419FA7E" w14:textId="77777777" w:rsidR="00C25AF5" w:rsidRPr="004179CB" w:rsidRDefault="00000000">
      <w:pPr>
        <w:pStyle w:val="Stnadard"/>
        <w:spacing w:after="0"/>
        <w:ind w:leftChars="-200" w:left="-400" w:firstLineChars="214" w:firstLine="514"/>
        <w:jc w:val="center"/>
        <w:rPr>
          <w:i/>
          <w:iCs/>
          <w:sz w:val="24"/>
          <w:lang w:val="en-US" w:eastAsia="zh-CN"/>
        </w:rPr>
      </w:pPr>
      <w:r w:rsidRPr="004179CB">
        <w:rPr>
          <w:i/>
          <w:iCs/>
          <w:sz w:val="24"/>
          <w:lang w:val="en-US" w:eastAsia="zh-CN"/>
        </w:rPr>
        <w:t xml:space="preserve">E–mail: </w:t>
      </w:r>
      <w:hyperlink r:id="rId7" w:history="1">
        <w:r w:rsidRPr="004179CB">
          <w:rPr>
            <w:rStyle w:val="aa"/>
            <w:i/>
            <w:iCs/>
            <w:sz w:val="24"/>
            <w:lang w:val="en-US" w:eastAsia="zh-CN"/>
          </w:rPr>
          <w:t>borisov.arsen01</w:t>
        </w:r>
        <w:r w:rsidRPr="004179CB">
          <w:rPr>
            <w:rStyle w:val="aa"/>
            <w:rFonts w:hint="eastAsia"/>
            <w:i/>
            <w:iCs/>
            <w:sz w:val="24"/>
            <w:lang w:val="en-US" w:eastAsia="zh-CN"/>
          </w:rPr>
          <w:t>@</w:t>
        </w:r>
        <w:r w:rsidRPr="004179CB">
          <w:rPr>
            <w:rStyle w:val="aa"/>
            <w:i/>
            <w:iCs/>
            <w:sz w:val="24"/>
            <w:lang w:val="en-US" w:eastAsia="zh-CN"/>
          </w:rPr>
          <w:t>mail.ru</w:t>
        </w:r>
      </w:hyperlink>
    </w:p>
    <w:p w14:paraId="464DD748" w14:textId="77777777" w:rsidR="00C25AF5" w:rsidRDefault="00C25AF5">
      <w:pPr>
        <w:pStyle w:val="Stnadard"/>
        <w:spacing w:after="0"/>
        <w:ind w:leftChars="-200" w:left="-400" w:firstLineChars="214" w:firstLine="514"/>
        <w:jc w:val="center"/>
        <w:rPr>
          <w:sz w:val="24"/>
          <w:lang w:val="en-US" w:eastAsia="zh-CN"/>
        </w:rPr>
      </w:pPr>
    </w:p>
    <w:p w14:paraId="34A45A62" w14:textId="77777777" w:rsidR="00C25AF5" w:rsidRDefault="00000000">
      <w:pPr>
        <w:pStyle w:val="Stnadard"/>
        <w:spacing w:after="0"/>
        <w:ind w:leftChars="-200" w:left="-400" w:firstLineChars="214" w:firstLine="514"/>
        <w:rPr>
          <w:sz w:val="24"/>
        </w:rPr>
      </w:pPr>
      <w:r>
        <w:rPr>
          <w:sz w:val="24"/>
          <w:lang w:eastAsia="zh-CN"/>
        </w:rPr>
        <w:t xml:space="preserve">К </w:t>
      </w:r>
      <w:r>
        <w:rPr>
          <w:sz w:val="24"/>
          <w:lang w:val="en-US" w:eastAsia="zh-CN"/>
        </w:rPr>
        <w:t>XVII</w:t>
      </w:r>
      <w:r w:rsidRPr="004179CB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в. в Российском государстве сложилась уездная система управления территориями, основанная на воеводском управлении и наказном делопроизводстве, отличавшемся заметной разветвленностью, но вместе с тем и отсутствием юридической унификации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4</w:t>
      </w:r>
      <w:r w:rsidRPr="004179CB">
        <w:rPr>
          <w:sz w:val="24"/>
          <w:lang w:eastAsia="zh-CN"/>
        </w:rPr>
        <w:t>]</w:t>
      </w:r>
      <w:r>
        <w:rPr>
          <w:sz w:val="24"/>
          <w:lang w:eastAsia="zh-CN"/>
        </w:rPr>
        <w:t xml:space="preserve">. Первый опорный пункт Российского государства на территории Якутии появиться в 1632 г.: Ленский острог - будущий г. Якутск. На основе него и будет в 1638 г. организован Якутский уезд с собственным воеводским управлением </w:t>
      </w:r>
      <w:r w:rsidRPr="004179CB">
        <w:rPr>
          <w:sz w:val="24"/>
        </w:rPr>
        <w:t>[</w:t>
      </w:r>
      <w:r w:rsidRPr="004179CB">
        <w:rPr>
          <w:rFonts w:hint="eastAsia"/>
          <w:sz w:val="24"/>
          <w:lang w:eastAsia="zh-CN"/>
        </w:rPr>
        <w:t>5</w:t>
      </w:r>
      <w:r w:rsidRPr="004179CB">
        <w:rPr>
          <w:sz w:val="24"/>
        </w:rPr>
        <w:t>]</w:t>
      </w:r>
      <w:r>
        <w:rPr>
          <w:sz w:val="24"/>
        </w:rPr>
        <w:t>.</w:t>
      </w:r>
    </w:p>
    <w:p w14:paraId="714C28FB" w14:textId="77777777" w:rsidR="00C25AF5" w:rsidRDefault="00000000">
      <w:pPr>
        <w:pStyle w:val="Stnadard"/>
        <w:spacing w:after="0"/>
        <w:ind w:leftChars="-200" w:left="-400" w:firstLineChars="214" w:firstLine="514"/>
        <w:rPr>
          <w:sz w:val="24"/>
          <w:lang w:eastAsia="zh-CN"/>
        </w:rPr>
      </w:pPr>
      <w:r>
        <w:rPr>
          <w:sz w:val="24"/>
        </w:rPr>
        <w:t xml:space="preserve">Доклад посвящён выявлению и рассмотрению формуляра у ряда сохранившихся царских наказных грамот, которые выдавались русским царём воеводам при назначении их на воеводскую должность в Якутский уезд </w:t>
      </w:r>
      <w:r>
        <w:rPr>
          <w:sz w:val="24"/>
          <w:lang w:val="en-US"/>
        </w:rPr>
        <w:t>XVII</w:t>
      </w:r>
      <w:r w:rsidRPr="004179CB">
        <w:rPr>
          <w:sz w:val="24"/>
        </w:rPr>
        <w:t xml:space="preserve"> </w:t>
      </w:r>
      <w:r>
        <w:rPr>
          <w:sz w:val="24"/>
          <w:lang w:eastAsia="zh-CN"/>
        </w:rPr>
        <w:t>в.</w:t>
      </w:r>
      <w:r>
        <w:rPr>
          <w:sz w:val="24"/>
        </w:rPr>
        <w:t>.</w:t>
      </w:r>
    </w:p>
    <w:p w14:paraId="263BD5F9" w14:textId="77777777" w:rsidR="00C25AF5" w:rsidRDefault="00000000">
      <w:pPr>
        <w:pStyle w:val="Stnadard"/>
        <w:spacing w:after="0"/>
        <w:ind w:leftChars="-200" w:left="-400" w:firstLineChars="214" w:firstLine="514"/>
        <w:rPr>
          <w:sz w:val="24"/>
          <w:lang w:eastAsia="zh-CN"/>
        </w:rPr>
      </w:pPr>
      <w:r>
        <w:rPr>
          <w:sz w:val="24"/>
          <w:lang w:eastAsia="zh-CN"/>
        </w:rPr>
        <w:t>Фактически царская наказная грамота - это своего рода санкция царя, которой он давал придворным (одному или двум) полномочия вершить дела от имени царя в том или ином городе и подчинённой ему территории, а также и инструкция как и что делать на месте. Первым таким документам является «Наказ Михаила Фёдоровича первым якутским воеводам Петру Головину и Матвею Глебову по вопросам управления новым Якутским уездом» 1638 г.. Данный наказ начинается указанием даты и определения «адресанта» (в данном это несомненно «государь царь и великий князь Михайло Фёдорович всея Руси» и «адресата», между которым вставлено слово «велети (ехати) ...». После чего начинается описание предыстория событий, произошедших в регионе до издания данного наказа. Затем начинается инструкционная часть, однако сначала с ней описывается маршрут, который воеводы должны проделать и что сделать должны в течение него. Только после</w:t>
      </w:r>
      <w:r w:rsidRPr="004179CB"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этого непосредственно идёт инструкция воеводам, что же делать в Якутском остроге. В данном случае это преимущественно наведение порядка, в первую очередь в ясачном сборе с инородцев и в деяниях служилых людей региона, и обустройство острога и уездной системы в принципе. После чего царская грамота заканчивается логичной санкционной частью, где царь предупреждает назначенных воевод не делать ничего против данного наказа, иначе «быти им от государя ... въ великой опале и в казни».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5</w:t>
      </w:r>
      <w:r w:rsidRPr="004179CB">
        <w:rPr>
          <w:sz w:val="24"/>
          <w:lang w:eastAsia="zh-CN"/>
        </w:rPr>
        <w:t>]</w:t>
      </w:r>
    </w:p>
    <w:p w14:paraId="087B7A99" w14:textId="77777777" w:rsidR="00C25AF5" w:rsidRDefault="00000000">
      <w:pPr>
        <w:pStyle w:val="Stnadard"/>
        <w:spacing w:after="0"/>
        <w:ind w:leftChars="-200" w:left="-400" w:firstLineChars="214" w:firstLine="514"/>
        <w:rPr>
          <w:sz w:val="24"/>
          <w:lang w:eastAsia="zh-CN"/>
        </w:rPr>
      </w:pPr>
      <w:r>
        <w:rPr>
          <w:sz w:val="24"/>
          <w:lang w:eastAsia="zh-CN"/>
        </w:rPr>
        <w:t>В «Наказе Ленским, или Якутинским, воеводам Василью Пушкину и Кириллу Супоневу и дьяку Петру Стеншину, об управлении тамошним краем» также начало выстроено как: дата, адресант «велети ...» адресат, но затем идёт описание маршрута воевод, которое вскоре перемешивается с предысторией. Далее логически следует распоряжения, необходимые для выполнения по приезду в Ленский острог. И удивительно, что в данном документе отчётливая санкционная часть отсутствует, однако косвенно она очевидно подразумевается будучи размытой в инструкционной части.</w:t>
      </w:r>
      <w:r w:rsidRPr="004179CB">
        <w:rPr>
          <w:rFonts w:hint="eastAsia"/>
          <w:sz w:val="24"/>
          <w:lang w:eastAsia="zh-CN"/>
        </w:rPr>
        <w:t xml:space="preserve">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2</w:t>
      </w:r>
      <w:r w:rsidRPr="004179CB">
        <w:rPr>
          <w:sz w:val="24"/>
          <w:lang w:eastAsia="zh-CN"/>
        </w:rPr>
        <w:t>]</w:t>
      </w:r>
      <w:r>
        <w:rPr>
          <w:sz w:val="24"/>
          <w:lang w:eastAsia="zh-CN"/>
        </w:rPr>
        <w:t xml:space="preserve"> </w:t>
      </w:r>
    </w:p>
    <w:p w14:paraId="1FE37FC5" w14:textId="77777777" w:rsidR="00C25AF5" w:rsidRPr="004179CB" w:rsidRDefault="00000000">
      <w:pPr>
        <w:pStyle w:val="Stnadard"/>
        <w:spacing w:after="0"/>
        <w:ind w:leftChars="-200" w:left="-400" w:firstLineChars="214" w:firstLine="514"/>
        <w:rPr>
          <w:rFonts w:eastAsia="SimSun"/>
          <w:sz w:val="24"/>
          <w:lang w:eastAsia="zh-CN"/>
        </w:rPr>
      </w:pPr>
      <w:r>
        <w:rPr>
          <w:sz w:val="24"/>
          <w:lang w:eastAsia="zh-CN"/>
        </w:rPr>
        <w:t>В 1651 г. дан царский «</w:t>
      </w:r>
      <w:r>
        <w:rPr>
          <w:rFonts w:eastAsia="SimSun"/>
          <w:sz w:val="24"/>
          <w:lang w:eastAsia="zh-CN"/>
        </w:rPr>
        <w:t>Наказ Якутскому воеводе Михайлу Лодыженскому, об отправлении им воеводской должности». У данного наказа утрачено начало, но в целом порядок повествования схож с предыдущими наказами, а внутрь инструкционной части  вставлена отчётливая санкционная часть: «а будет он ... воевода ... делати всякие государевы дела непротивъ (против в знач. «по») сего государева наказу ... быти въ в великой опале».</w:t>
      </w:r>
      <w:r w:rsidRPr="004179CB">
        <w:rPr>
          <w:rFonts w:eastAsia="SimSun" w:hint="eastAsia"/>
          <w:sz w:val="24"/>
          <w:lang w:eastAsia="zh-CN"/>
        </w:rPr>
        <w:t xml:space="preserve">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3</w:t>
      </w:r>
      <w:r w:rsidRPr="004179CB">
        <w:rPr>
          <w:sz w:val="24"/>
          <w:lang w:eastAsia="zh-CN"/>
        </w:rPr>
        <w:t>]</w:t>
      </w:r>
    </w:p>
    <w:p w14:paraId="7B06B16E" w14:textId="77777777" w:rsidR="00C25AF5" w:rsidRDefault="00000000">
      <w:pPr>
        <w:pStyle w:val="Stnadard"/>
        <w:spacing w:after="0"/>
        <w:ind w:leftChars="-200" w:left="-400" w:firstLineChars="214" w:firstLine="514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  <w:t xml:space="preserve">Обратимся к более позднему «Наказу генералу Матвею Осиповичу Кровкову о назначении его якутским воеводой» 1683 г. Начинается наказ идентично по структуре с предыдущими грамотами, далее инструкционная часть, в том числе описание маршрута, стоит отметить, что в данном наказе гораздо меньше ссылок (в плане объёма) на предысторию, и также в инструкционную часть вставлены следующие строки: А будет он </w:t>
      </w:r>
      <w:r>
        <w:rPr>
          <w:rFonts w:eastAsia="SimSun"/>
          <w:sz w:val="24"/>
          <w:lang w:eastAsia="zh-CN"/>
        </w:rPr>
        <w:lastRenderedPageBreak/>
        <w:t xml:space="preserve">Матвей учнет делать всякие великих государей дела с нераденьем и не против сего великих государей наказу, ... за то быть в опале».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1</w:t>
      </w:r>
      <w:r w:rsidRPr="004179CB">
        <w:rPr>
          <w:sz w:val="24"/>
          <w:lang w:eastAsia="zh-CN"/>
        </w:rPr>
        <w:t>]</w:t>
      </w:r>
    </w:p>
    <w:p w14:paraId="0BBB730D" w14:textId="77777777" w:rsidR="00C25AF5" w:rsidRDefault="00000000">
      <w:pPr>
        <w:pStyle w:val="Stnadard"/>
        <w:spacing w:after="0"/>
        <w:ind w:leftChars="-200" w:left="-400" w:firstLineChars="214" w:firstLine="514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  <w:t xml:space="preserve"> В Российском государстве </w:t>
      </w:r>
      <w:r>
        <w:rPr>
          <w:rFonts w:eastAsia="SimSun"/>
          <w:sz w:val="24"/>
          <w:lang w:val="en-US" w:eastAsia="zh-CN"/>
        </w:rPr>
        <w:t>XVII</w:t>
      </w:r>
      <w:r w:rsidRPr="004179CB">
        <w:rPr>
          <w:rFonts w:eastAsia="SimSun"/>
          <w:sz w:val="24"/>
          <w:lang w:eastAsia="zh-CN"/>
        </w:rPr>
        <w:t xml:space="preserve"> </w:t>
      </w:r>
      <w:r>
        <w:rPr>
          <w:rFonts w:eastAsia="SimSun"/>
          <w:sz w:val="24"/>
          <w:lang w:eastAsia="zh-CN"/>
        </w:rPr>
        <w:t>в. подобная документация также имела схожие конструкции-клише: интитуляция-инвокация, диспозиция и санкцию</w:t>
      </w:r>
      <w:r w:rsidRPr="004179CB">
        <w:rPr>
          <w:rFonts w:eastAsia="SimSun" w:hint="eastAsia"/>
          <w:sz w:val="24"/>
          <w:lang w:eastAsia="zh-CN"/>
        </w:rPr>
        <w:t xml:space="preserve"> </w:t>
      </w:r>
      <w:r w:rsidRPr="004179CB">
        <w:rPr>
          <w:sz w:val="24"/>
          <w:lang w:eastAsia="zh-CN"/>
        </w:rPr>
        <w:t>[</w:t>
      </w:r>
      <w:r w:rsidRPr="004179CB">
        <w:rPr>
          <w:rFonts w:hint="eastAsia"/>
          <w:sz w:val="24"/>
          <w:lang w:eastAsia="zh-CN"/>
        </w:rPr>
        <w:t>6</w:t>
      </w:r>
      <w:r w:rsidRPr="004179CB">
        <w:rPr>
          <w:sz w:val="24"/>
          <w:lang w:eastAsia="zh-CN"/>
        </w:rPr>
        <w:t>]</w:t>
      </w:r>
      <w:r>
        <w:rPr>
          <w:rFonts w:eastAsia="SimSun"/>
          <w:sz w:val="24"/>
          <w:lang w:eastAsia="zh-CN"/>
        </w:rPr>
        <w:t xml:space="preserve">. В рассмотренных же царских грамотах якутским воеводам можно также выделить схожие по смысловой нагрузке конструкции-клише, которых можно насчитать 3-4, несмотря на незначительные нарушения. </w:t>
      </w:r>
    </w:p>
    <w:p w14:paraId="6D8BE17F" w14:textId="77777777" w:rsidR="00C25AF5" w:rsidRDefault="00000000">
      <w:pPr>
        <w:pStyle w:val="Stnadard"/>
        <w:spacing w:after="0"/>
        <w:ind w:leftChars="-200" w:left="-400" w:firstLineChars="214" w:firstLine="514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  <w:t xml:space="preserve">Таким образом, это свидетельствует о том, что наказы якутским воеводами были характерными и типичными для своего времени, несмотря на наличие в них весьма обширной предисторической составляющей, что впрочем не является критическим в виду того, что в целом диспозитивная часть документа того периода делопроизводства не была ничем регламентирована. Формуляр наказных грамот к </w:t>
      </w:r>
      <w:r>
        <w:rPr>
          <w:rFonts w:eastAsia="SimSun"/>
          <w:sz w:val="24"/>
          <w:lang w:val="en-US" w:eastAsia="zh-CN"/>
        </w:rPr>
        <w:t>XVII</w:t>
      </w:r>
      <w:r w:rsidRPr="004179CB">
        <w:rPr>
          <w:rFonts w:eastAsia="SimSun"/>
          <w:sz w:val="24"/>
          <w:lang w:eastAsia="zh-CN"/>
        </w:rPr>
        <w:t xml:space="preserve"> </w:t>
      </w:r>
      <w:r>
        <w:rPr>
          <w:rFonts w:eastAsia="SimSun"/>
          <w:sz w:val="24"/>
          <w:lang w:eastAsia="zh-CN"/>
        </w:rPr>
        <w:t>в. устоялся и практически стал негласной нормой и характерной чертой подобной формы документации на всём пространстве быстро расширяющегося Российского государства.</w:t>
      </w:r>
    </w:p>
    <w:p w14:paraId="38C3518E" w14:textId="77777777" w:rsidR="00C25AF5" w:rsidRDefault="00C25AF5">
      <w:pPr>
        <w:pStyle w:val="Stnadard"/>
        <w:spacing w:after="0"/>
        <w:ind w:leftChars="-200" w:left="-400" w:firstLineChars="214" w:firstLine="514"/>
        <w:rPr>
          <w:rFonts w:eastAsia="SimSun"/>
          <w:sz w:val="24"/>
          <w:lang w:eastAsia="zh-CN"/>
        </w:rPr>
      </w:pPr>
    </w:p>
    <w:p w14:paraId="52613E09" w14:textId="77777777" w:rsidR="00C25AF5" w:rsidRDefault="00000000">
      <w:pPr>
        <w:pStyle w:val="Stnadard"/>
        <w:spacing w:after="0"/>
        <w:ind w:leftChars="-200" w:left="-400" w:firstLineChars="214" w:firstLine="51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Литература</w:t>
      </w:r>
    </w:p>
    <w:p w14:paraId="7F6BD5ED" w14:textId="77777777" w:rsidR="00C25AF5" w:rsidRDefault="00000000">
      <w:pPr>
        <w:pStyle w:val="Stnadard"/>
        <w:numPr>
          <w:ilvl w:val="0"/>
          <w:numId w:val="11"/>
        </w:numPr>
        <w:spacing w:after="0"/>
        <w:rPr>
          <w:sz w:val="24"/>
          <w:lang w:eastAsia="zh-CN"/>
        </w:rPr>
      </w:pPr>
      <w:r>
        <w:rPr>
          <w:sz w:val="24"/>
          <w:lang w:eastAsia="zh-CN"/>
        </w:rPr>
        <w:t>Алькор Я.П., Греков Б.Д. (ред.) Колониальная политика Московского государства в Якутии XVII в.: сборник документов. Л., Издательство Института Народов севера ЦИК СССР им. П.Г. Смидовича, 1936. 330 c.</w:t>
      </w:r>
    </w:p>
    <w:p w14:paraId="56837F97" w14:textId="77777777" w:rsidR="00C25AF5" w:rsidRDefault="00000000">
      <w:pPr>
        <w:pStyle w:val="Stnadard"/>
        <w:numPr>
          <w:ilvl w:val="0"/>
          <w:numId w:val="11"/>
        </w:numPr>
        <w:spacing w:after="0"/>
        <w:rPr>
          <w:sz w:val="24"/>
          <w:lang w:eastAsia="zh-CN"/>
        </w:rPr>
      </w:pPr>
      <w:r>
        <w:rPr>
          <w:sz w:val="24"/>
        </w:rPr>
        <w:t xml:space="preserve">Дополнения к актам историческим, собранные и изданные археографической комиссией. Том второй. СПб., Тип. Эдуарда Праца, 1846. 308 с. </w:t>
      </w:r>
    </w:p>
    <w:p w14:paraId="02728BAE" w14:textId="77777777" w:rsidR="00C25AF5" w:rsidRDefault="00000000">
      <w:pPr>
        <w:pStyle w:val="Stnadard"/>
        <w:numPr>
          <w:ilvl w:val="0"/>
          <w:numId w:val="11"/>
        </w:numPr>
        <w:spacing w:after="0"/>
        <w:rPr>
          <w:sz w:val="24"/>
          <w:lang w:eastAsia="zh-CN"/>
        </w:rPr>
      </w:pPr>
      <w:r>
        <w:rPr>
          <w:sz w:val="24"/>
        </w:rPr>
        <w:t xml:space="preserve">Дополнения к актам историческим, собранные и изданные археографической комиссией. Том третий. СПб., Тип. Эдуарда Праца, 1848. 572 с. </w:t>
      </w:r>
    </w:p>
    <w:p w14:paraId="2ED4C4DC" w14:textId="77777777" w:rsidR="00C25AF5" w:rsidRDefault="00000000">
      <w:pPr>
        <w:pStyle w:val="Stnadard"/>
        <w:numPr>
          <w:ilvl w:val="0"/>
          <w:numId w:val="11"/>
        </w:numPr>
        <w:spacing w:after="0"/>
        <w:rPr>
          <w:sz w:val="24"/>
          <w:lang w:eastAsia="zh-CN"/>
        </w:rPr>
      </w:pPr>
      <w:r>
        <w:rPr>
          <w:sz w:val="24"/>
          <w:lang w:eastAsia="zh-CN"/>
        </w:rPr>
        <w:t xml:space="preserve">Ерошкин Н.П., Иванов А.Е., Степанский А.Д. История государственных учреждений дореволюционной России. 5-е изд.  М.: РГГУ, 2008. 710 с. </w:t>
      </w:r>
    </w:p>
    <w:p w14:paraId="6F230C05" w14:textId="77777777" w:rsidR="00C25AF5" w:rsidRDefault="00000000">
      <w:pPr>
        <w:pStyle w:val="Stnadard"/>
        <w:numPr>
          <w:ilvl w:val="0"/>
          <w:numId w:val="11"/>
        </w:numPr>
        <w:spacing w:after="0"/>
        <w:rPr>
          <w:sz w:val="24"/>
        </w:rPr>
      </w:pPr>
      <w:r>
        <w:rPr>
          <w:sz w:val="24"/>
          <w:lang w:eastAsia="zh-CN"/>
        </w:rPr>
        <w:t xml:space="preserve">Иванов В.Н. Вхождение Северо-Востока Азии в состав Русского государства. Новосибирск: Наука. Сиб. изд. фирма РАН, 1999.  197 с. </w:t>
      </w:r>
    </w:p>
    <w:p w14:paraId="1AB2D888" w14:textId="77777777" w:rsidR="00C25AF5" w:rsidRDefault="00000000">
      <w:pPr>
        <w:pStyle w:val="Stnadard"/>
        <w:numPr>
          <w:ilvl w:val="0"/>
          <w:numId w:val="11"/>
        </w:numPr>
        <w:spacing w:after="0"/>
        <w:jc w:val="left"/>
        <w:rPr>
          <w:sz w:val="24"/>
          <w:lang w:eastAsia="zh-CN"/>
        </w:rPr>
      </w:pPr>
      <w:r>
        <w:rPr>
          <w:sz w:val="24"/>
          <w:lang w:eastAsia="zh-CN"/>
        </w:rPr>
        <w:t xml:space="preserve">Ельчанинова О.Ю. Специфика формуляра и видовое многообразие русских грамот XVII века // Актуальные проблемы российского права. 2016. №10 (71). URL: https://cyberleninka.ru/article/n/spetsifika-formulyara-i-vidovoe-mnogoobrazie-russkih-gramot-xvii-veka (дата обращения: 09.03.2026). </w:t>
      </w:r>
    </w:p>
    <w:p w14:paraId="176BEE19" w14:textId="77777777" w:rsidR="00C25AF5" w:rsidRDefault="00C25AF5">
      <w:pPr>
        <w:pStyle w:val="Stnadard"/>
        <w:spacing w:after="0"/>
        <w:ind w:leftChars="-200" w:left="-400" w:firstLineChars="214" w:firstLine="514"/>
        <w:jc w:val="left"/>
        <w:rPr>
          <w:sz w:val="24"/>
          <w:lang w:eastAsia="zh-CN"/>
        </w:rPr>
      </w:pPr>
    </w:p>
    <w:p w14:paraId="66B77B0E" w14:textId="77777777" w:rsidR="00C25AF5" w:rsidRPr="004179CB" w:rsidRDefault="00C25AF5">
      <w:pPr>
        <w:rPr>
          <w:sz w:val="24"/>
          <w:szCs w:val="24"/>
          <w:lang w:val="ru-RU"/>
        </w:rPr>
      </w:pPr>
    </w:p>
    <w:sectPr w:rsidR="00C25AF5" w:rsidRPr="0041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375" w14:textId="77777777" w:rsidR="00E64C84" w:rsidRDefault="00E64C84" w:rsidP="004179CB">
      <w:r>
        <w:separator/>
      </w:r>
    </w:p>
  </w:endnote>
  <w:endnote w:type="continuationSeparator" w:id="0">
    <w:p w14:paraId="5B6B04B9" w14:textId="77777777" w:rsidR="00E64C84" w:rsidRDefault="00E64C84" w:rsidP="0041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1DD3" w14:textId="77777777" w:rsidR="004179CB" w:rsidRDefault="004179CB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791C" w14:textId="77777777" w:rsidR="004179CB" w:rsidRDefault="004179CB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5BEC" w14:textId="77777777" w:rsidR="004179CB" w:rsidRDefault="004179CB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DC0C" w14:textId="77777777" w:rsidR="00E64C84" w:rsidRDefault="00E64C84" w:rsidP="004179CB">
      <w:r>
        <w:separator/>
      </w:r>
    </w:p>
  </w:footnote>
  <w:footnote w:type="continuationSeparator" w:id="0">
    <w:p w14:paraId="0E8305D6" w14:textId="77777777" w:rsidR="00E64C84" w:rsidRDefault="00E64C84" w:rsidP="0041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97E6" w14:textId="77777777" w:rsidR="004179CB" w:rsidRDefault="004179C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780" w14:textId="77777777" w:rsidR="004179CB" w:rsidRDefault="004179C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B579" w14:textId="77777777" w:rsidR="004179CB" w:rsidRDefault="004179C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42E13B"/>
    <w:multiLevelType w:val="singleLevel"/>
    <w:tmpl w:val="4242E13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944998666">
    <w:abstractNumId w:val="0"/>
  </w:num>
  <w:num w:numId="2" w16cid:durableId="1497188236">
    <w:abstractNumId w:val="2"/>
  </w:num>
  <w:num w:numId="3" w16cid:durableId="863058600">
    <w:abstractNumId w:val="1"/>
  </w:num>
  <w:num w:numId="4" w16cid:durableId="1607688611">
    <w:abstractNumId w:val="4"/>
  </w:num>
  <w:num w:numId="5" w16cid:durableId="1328358904">
    <w:abstractNumId w:val="5"/>
  </w:num>
  <w:num w:numId="6" w16cid:durableId="1118455476">
    <w:abstractNumId w:val="9"/>
  </w:num>
  <w:num w:numId="7" w16cid:durableId="243690474">
    <w:abstractNumId w:val="7"/>
  </w:num>
  <w:num w:numId="8" w16cid:durableId="1427842878">
    <w:abstractNumId w:val="6"/>
  </w:num>
  <w:num w:numId="9" w16cid:durableId="1889340692">
    <w:abstractNumId w:val="8"/>
  </w:num>
  <w:num w:numId="10" w16cid:durableId="1554467392">
    <w:abstractNumId w:val="3"/>
  </w:num>
  <w:num w:numId="11" w16cid:durableId="1367482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179CB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25AF5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64C84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590B"/>
    <w:rsid w:val="017671A7"/>
    <w:rsid w:val="072510C4"/>
    <w:rsid w:val="09A441E0"/>
    <w:rsid w:val="0E1D4B35"/>
    <w:rsid w:val="0E3E173F"/>
    <w:rsid w:val="101D7AFE"/>
    <w:rsid w:val="14A80DC7"/>
    <w:rsid w:val="198E6BD4"/>
    <w:rsid w:val="1B142779"/>
    <w:rsid w:val="1BF1480B"/>
    <w:rsid w:val="1F6A4E0C"/>
    <w:rsid w:val="21E525E1"/>
    <w:rsid w:val="256366B9"/>
    <w:rsid w:val="26320878"/>
    <w:rsid w:val="26372DC2"/>
    <w:rsid w:val="321C7204"/>
    <w:rsid w:val="356C17BB"/>
    <w:rsid w:val="3D2E204C"/>
    <w:rsid w:val="418A3D14"/>
    <w:rsid w:val="42566B5B"/>
    <w:rsid w:val="46357A9B"/>
    <w:rsid w:val="49E57AE4"/>
    <w:rsid w:val="51E82F6F"/>
    <w:rsid w:val="575D6863"/>
    <w:rsid w:val="5D740BC8"/>
    <w:rsid w:val="600F12A5"/>
    <w:rsid w:val="623E0374"/>
    <w:rsid w:val="648A2C92"/>
    <w:rsid w:val="691B6CFF"/>
    <w:rsid w:val="693E290A"/>
    <w:rsid w:val="6D696F8E"/>
    <w:rsid w:val="71A43E00"/>
    <w:rsid w:val="73047C7A"/>
    <w:rsid w:val="7A2D347F"/>
    <w:rsid w:val="7C9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3C230"/>
  <w15:docId w15:val="{2BC915FB-674D-184D-9406-0CCA048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9">
    <w:name w:val="Стиль1"/>
    <w:basedOn w:val="a1"/>
    <w:next w:val="a1"/>
    <w:qFormat/>
    <w:pPr>
      <w:keepNext/>
      <w:spacing w:before="240" w:after="60"/>
      <w:jc w:val="both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customStyle="1" w:styleId="Stnadard">
    <w:name w:val="Stnadard"/>
    <w:basedOn w:val="a1"/>
    <w:qFormat/>
    <w:pPr>
      <w:spacing w:after="200"/>
      <w:jc w:val="both"/>
    </w:pPr>
    <w:rPr>
      <w:rFonts w:ascii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risov.arsen01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Wind</dc:creator>
  <cp:lastModifiedBy>Сергей Иванов</cp:lastModifiedBy>
  <cp:revision>2</cp:revision>
  <dcterms:created xsi:type="dcterms:W3CDTF">2025-10-16T05:08:00Z</dcterms:created>
  <dcterms:modified xsi:type="dcterms:W3CDTF">2026-04-04T16:45:00Z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B2190EB8FD1B4078B656F335861614B3_12</vt:lpwstr>
  </property>
</Properties>
</file>