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B0AB4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Динамика показателей движений кисти под влиянием тренажера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HandTutor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 пациентов в постинсультном периоде</w:t>
      </w:r>
    </w:p>
    <w:p w14:paraId="00000002" w14:textId="77777777" w:rsidR="004B0AB4" w:rsidRPr="00D72E08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D72E0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Семенова Марианна Васильевна</w:t>
      </w:r>
    </w:p>
    <w:p w14:paraId="00000003" w14:textId="77777777" w:rsidR="004B0AB4" w:rsidRPr="00D72E08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72E08">
        <w:rPr>
          <w:rFonts w:ascii="Times New Roman" w:eastAsia="Times New Roman" w:hAnsi="Times New Roman" w:cs="Times New Roman"/>
          <w:i/>
          <w:iCs/>
          <w:sz w:val="24"/>
          <w:szCs w:val="24"/>
        </w:rPr>
        <w:t>Студент</w:t>
      </w:r>
    </w:p>
    <w:p w14:paraId="00000004" w14:textId="77777777" w:rsidR="004B0AB4" w:rsidRPr="00D72E08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72E0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ФГАОУ ВО «Северо-Восточный федеральный университет им. М.К. Аммосова», Медицинский институт, Якутск, Россия </w:t>
      </w:r>
    </w:p>
    <w:p w14:paraId="00000005" w14:textId="77777777" w:rsidR="004B0AB4" w:rsidRDefault="00000000">
      <w:pPr>
        <w:spacing w:line="240" w:lineRule="auto"/>
        <w:jc w:val="center"/>
        <w:rPr>
          <w:i/>
          <w:iCs/>
          <w:lang w:val="ru-RU"/>
        </w:rPr>
      </w:pPr>
      <w:r w:rsidRPr="00D72E08">
        <w:rPr>
          <w:rFonts w:ascii="Times New Roman" w:eastAsia="Times New Roman" w:hAnsi="Times New Roman" w:cs="Times New Roman"/>
          <w:i/>
          <w:iCs/>
          <w:sz w:val="24"/>
          <w:szCs w:val="24"/>
        </w:rPr>
        <w:t>E–</w:t>
      </w:r>
      <w:proofErr w:type="spellStart"/>
      <w:r w:rsidRPr="00D72E08">
        <w:rPr>
          <w:rFonts w:ascii="Times New Roman" w:eastAsia="Times New Roman" w:hAnsi="Times New Roman" w:cs="Times New Roman"/>
          <w:i/>
          <w:iCs/>
          <w:sz w:val="24"/>
          <w:szCs w:val="24"/>
        </w:rPr>
        <w:t>mail</w:t>
      </w:r>
      <w:proofErr w:type="spellEnd"/>
      <w:r w:rsidRPr="00D72E0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: </w:t>
      </w:r>
      <w:hyperlink r:id="rId4">
        <w:r w:rsidRPr="00D72E08">
          <w:rPr>
            <w:rFonts w:ascii="Times New Roman" w:eastAsia="Times New Roman" w:hAnsi="Times New Roman" w:cs="Times New Roman"/>
            <w:i/>
            <w:iCs/>
            <w:color w:val="1155CC"/>
            <w:sz w:val="24"/>
            <w:szCs w:val="24"/>
            <w:u w:val="single"/>
          </w:rPr>
          <w:t>mariannasemenova395@gmail.com</w:t>
        </w:r>
      </w:hyperlink>
    </w:p>
    <w:p w14:paraId="07F6C8DA" w14:textId="77777777" w:rsidR="00D72E08" w:rsidRPr="00D72E08" w:rsidRDefault="00D72E08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</w:p>
    <w:p w14:paraId="00000006" w14:textId="77777777" w:rsidR="004B0AB4" w:rsidRDefault="00000000">
      <w:pPr>
        <w:spacing w:line="240" w:lineRule="auto"/>
        <w:ind w:right="-324" w:firstLine="709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</w:rPr>
      </w:pPr>
      <w:bookmarkStart w:id="0" w:name="_ndsda6amzl4c" w:colFirst="0" w:colLast="0"/>
      <w:bookmarkEnd w:id="0"/>
      <w:r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</w:rPr>
        <w:t xml:space="preserve">Инсульт занимает 2-ое место в мире среди причин смерти и инвалидности [1]. Ежегодно в Европе 3,7 млн выживших остаются с персистирующими функциональными дефицитами, при этом полное восстановление наблюдается менее чем у 15% пациентов [2]. Нарушения функции верхних конечностей критически ограничивают самообслуживание и качество жизни [3]. Многочисленные исследования подтверждают целесообразность включения методик биологической обратной связи (БОС) в программы реабилитации постинсультных пациентов [4]. Тренажер </w:t>
      </w:r>
      <w:proofErr w:type="spellStart"/>
      <w:r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</w:rPr>
        <w:t>HandTutor</w:t>
      </w:r>
      <w:proofErr w:type="spellEnd"/>
      <w:r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</w:rPr>
        <w:t xml:space="preserve"> предназначен для реабилитации тонких движений кисти у пациентов с неврологической патологией [5].</w:t>
      </w:r>
    </w:p>
    <w:p w14:paraId="00000007" w14:textId="77777777" w:rsidR="004B0AB4" w:rsidRDefault="00000000">
      <w:pPr>
        <w:spacing w:line="240" w:lineRule="auto"/>
        <w:ind w:right="-324" w:firstLine="709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</w:rPr>
        <w:t>Цель</w:t>
      </w:r>
      <w:proofErr w:type="gramStart"/>
      <w:r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</w:rPr>
        <w:t>: Определить</w:t>
      </w:r>
      <w:proofErr w:type="gramEnd"/>
      <w:r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</w:rPr>
        <w:t xml:space="preserve"> влияние курса тренировок на тренажере </w:t>
      </w:r>
      <w:proofErr w:type="spellStart"/>
      <w:r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</w:rPr>
        <w:t>HandTutor</w:t>
      </w:r>
      <w:proofErr w:type="spellEnd"/>
      <w:r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</w:rPr>
        <w:t xml:space="preserve"> на динамику восстановления мелкой моторики кисти в раннем восстановительном периоде инсульта.</w:t>
      </w:r>
    </w:p>
    <w:p w14:paraId="00000008" w14:textId="77777777" w:rsidR="004B0AB4" w:rsidRDefault="00000000">
      <w:pPr>
        <w:spacing w:line="240" w:lineRule="auto"/>
        <w:ind w:right="-324" w:firstLine="709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</w:rPr>
        <w:t xml:space="preserve">Материалы и методы: В исследование включены 147 пациентов, перенесших инсульт и проходивших реабилитацию с использованием </w:t>
      </w:r>
      <w:proofErr w:type="spellStart"/>
      <w:r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</w:rPr>
        <w:t>HandTutor</w:t>
      </w:r>
      <w:proofErr w:type="spellEnd"/>
      <w:r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</w:rPr>
        <w:t xml:space="preserve"> в 2023-2025 гг. Возраст пациентов — от 20 до 82 лет (средний 59 лет), мужчин — 92 (62,6%), женщин — 55 (37,4%). Статистическая обработка выполнена с использованием SPSS 27.0.</w:t>
      </w:r>
    </w:p>
    <w:p w14:paraId="00000009" w14:textId="77777777" w:rsidR="004B0AB4" w:rsidRDefault="00000000">
      <w:pPr>
        <w:spacing w:line="240" w:lineRule="auto"/>
        <w:ind w:right="-324" w:firstLine="709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</w:rPr>
        <w:t xml:space="preserve">Результаты и обсуждение: Применение </w:t>
      </w:r>
      <w:proofErr w:type="spellStart"/>
      <w:r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</w:rPr>
        <w:t>HandTutor</w:t>
      </w:r>
      <w:proofErr w:type="spellEnd"/>
      <w:r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</w:rPr>
        <w:t xml:space="preserve"> показало положительную динамику преимущественно в сфере активных движений. Наиболее выраженный прирост зафиксирован для безымянного пальца (с 19,8 до 21,0°) и запястья (с 14,3 до 15,5°), что свидетельствует о восстановлении нейромышечной проводимости и снижении пареза. Показатели пассивных движений существенно не изменились, что указывает на отсутствие значимой динамики в отношении грубых контрактур и сохранение </w:t>
      </w:r>
      <w:proofErr w:type="spellStart"/>
      <w:r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</w:rPr>
        <w:t>спастичности</w:t>
      </w:r>
      <w:proofErr w:type="spellEnd"/>
      <w:r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</w:rPr>
        <w:t xml:space="preserve"> на прежнем уровне.</w:t>
      </w:r>
    </w:p>
    <w:p w14:paraId="0000000A" w14:textId="77777777" w:rsidR="004B0AB4" w:rsidRDefault="00000000">
      <w:pPr>
        <w:spacing w:line="240" w:lineRule="auto"/>
        <w:ind w:right="-324" w:firstLine="709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</w:rPr>
        <w:t xml:space="preserve">Выводы. Проведенное исследование продемонстрировало положительное влияние тренажера </w:t>
      </w:r>
      <w:proofErr w:type="spellStart"/>
      <w:r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</w:rPr>
        <w:t>HandTutor</w:t>
      </w:r>
      <w:proofErr w:type="spellEnd"/>
      <w:r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</w:rPr>
        <w:t xml:space="preserve"> на восстановление активной двигательной функции кисти. Полученные данные подтверждают эффективность его включения в комплексную реабилитацию для улучшения целенаправленных движений верхней конечности.</w:t>
      </w:r>
    </w:p>
    <w:p w14:paraId="0000000B" w14:textId="5430334A" w:rsidR="004B0AB4" w:rsidRPr="00D72E08" w:rsidRDefault="00D72E08" w:rsidP="00D72E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320" w:firstLine="70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D72E08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highlight w:val="white"/>
          <w:lang w:val="ru-RU"/>
        </w:rPr>
        <w:t>Л</w:t>
      </w:r>
      <w:proofErr w:type="spellStart"/>
      <w:r w:rsidR="00000000" w:rsidRPr="00D72E08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highlight w:val="white"/>
        </w:rPr>
        <w:t>итератур</w:t>
      </w:r>
      <w:proofErr w:type="spellEnd"/>
      <w:r w:rsidRPr="00D72E08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highlight w:val="white"/>
          <w:lang w:val="ru-RU"/>
        </w:rPr>
        <w:t>а</w:t>
      </w:r>
      <w:r w:rsidR="00000000" w:rsidRPr="00D72E08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highlight w:val="white"/>
          <w:lang w:val="en-US"/>
        </w:rPr>
        <w:t>:</w:t>
      </w:r>
    </w:p>
    <w:p w14:paraId="0000000C" w14:textId="77777777" w:rsidR="004B0AB4" w:rsidRPr="00D72E0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3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hyperlink r:id="rId5"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1. Pragmatic solutions to reduce the global burden of stroke: a World Stroke Organization–Lancet Neurology Commission / V. L. Feigin, M. O. Owolabi, V. L. Feigin [et al.] // The Lancet Neurology. – 2023. – Vol. 22. – Pragmatic solutions to reduce the global burden of stroke. – № 12. – P. 1160-1206. </w:t>
        </w:r>
      </w:hyperlink>
    </w:p>
    <w:p w14:paraId="0000000D" w14:textId="77777777" w:rsidR="004B0AB4" w:rsidRPr="00D72E0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3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hyperlink r:id="rId6"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2. The structural connectome and motor recovery after stroke: predicting natural recovery / P. J. Koch, C.-H. Park, G. Girard [et al.] // Brain. – 2021. – Vol. 144. – The structural connectome and motor recovery after stroke. – № 7. – P. 2107-2119. </w:t>
        </w:r>
      </w:hyperlink>
    </w:p>
    <w:p w14:paraId="0000000E" w14:textId="77777777" w:rsidR="004B0AB4" w:rsidRPr="00D72E0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3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hyperlink r:id="rId7"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 xml:space="preserve">3. Methods to restore fine motor skills in stroke patients / K. V. Lupanova, P. S. Snopkov, A. A. Mikhailova, I. V. </w:t>
        </w:r>
        <w:proofErr w:type="spellStart"/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Sidyakina</w:t>
        </w:r>
        <w:proofErr w:type="spellEnd"/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 xml:space="preserve"> // </w:t>
        </w:r>
        <w:proofErr w:type="spellStart"/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Voprosy</w:t>
        </w:r>
        <w:proofErr w:type="spellEnd"/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 xml:space="preserve"> </w:t>
        </w:r>
        <w:proofErr w:type="spellStart"/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kurortologii</w:t>
        </w:r>
        <w:proofErr w:type="spellEnd"/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 xml:space="preserve">, </w:t>
        </w:r>
        <w:proofErr w:type="spellStart"/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fizioterapii</w:t>
        </w:r>
        <w:proofErr w:type="spellEnd"/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 xml:space="preserve"> </w:t>
        </w:r>
        <w:proofErr w:type="spellStart"/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i</w:t>
        </w:r>
        <w:proofErr w:type="spellEnd"/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 xml:space="preserve"> </w:t>
        </w:r>
        <w:proofErr w:type="spellStart"/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lechebnoi</w:t>
        </w:r>
        <w:proofErr w:type="spellEnd"/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 xml:space="preserve"> </w:t>
        </w:r>
        <w:proofErr w:type="spellStart"/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fizicheskoi</w:t>
        </w:r>
        <w:proofErr w:type="spellEnd"/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 xml:space="preserve"> </w:t>
        </w:r>
        <w:proofErr w:type="spellStart"/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kul’tury</w:t>
        </w:r>
        <w:proofErr w:type="spellEnd"/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 xml:space="preserve">. – 2022. –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</w:t>
        </w:r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 xml:space="preserve">. 99. – № 6. –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</w:t>
        </w:r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. 56. </w:t>
        </w:r>
      </w:hyperlink>
    </w:p>
    <w:p w14:paraId="0000000F" w14:textId="77777777" w:rsidR="004B0AB4" w:rsidRPr="00D72E0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3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hyperlink r:id="rId8"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 xml:space="preserve">4. </w:t>
        </w:r>
        <w:proofErr w:type="spellStart"/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Sidyakina</w:t>
        </w:r>
        <w:proofErr w:type="spellEnd"/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, I. V. Modern hardware technologies with biofeedback (</w:t>
        </w:r>
        <w:proofErr w:type="spellStart"/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HandTutor</w:t>
        </w:r>
        <w:proofErr w:type="spellEnd"/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 xml:space="preserve">) for normalizing muscle strength and tone in post-ischemic stroke patients / I. V. </w:t>
        </w:r>
        <w:proofErr w:type="spellStart"/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Sidyakina</w:t>
        </w:r>
        <w:proofErr w:type="spellEnd"/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 xml:space="preserve">, K. V. </w:t>
        </w:r>
        <w:proofErr w:type="spellStart"/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Lupanov</w:t>
        </w:r>
        <w:proofErr w:type="spellEnd"/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</w:t>
        </w:r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 xml:space="preserve">, E. S. </w:t>
        </w:r>
        <w:proofErr w:type="spellStart"/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Koneva</w:t>
        </w:r>
        <w:proofErr w:type="spellEnd"/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 xml:space="preserve"> // Russian Journal of Physiotherapy, Balneology and Rehabilitation. – 2024. –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</w:t>
        </w:r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 xml:space="preserve">. 23. – № 5. –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</w:t>
        </w:r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. 272-280. </w:t>
        </w:r>
      </w:hyperlink>
    </w:p>
    <w:p w14:paraId="00000010" w14:textId="77777777" w:rsidR="004B0AB4" w:rsidRPr="00D72E0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320" w:firstLine="700"/>
        <w:jc w:val="both"/>
        <w:rPr>
          <w:rFonts w:ascii="Times New Roman" w:eastAsia="Times New Roman" w:hAnsi="Times New Roman" w:cs="Times New Roman"/>
          <w:color w:val="0F1115"/>
          <w:sz w:val="24"/>
          <w:szCs w:val="24"/>
          <w:highlight w:val="white"/>
          <w:lang w:val="en-US"/>
        </w:rPr>
      </w:pPr>
      <w:hyperlink r:id="rId9"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 xml:space="preserve">5. The Effectiveness of Using the </w:t>
        </w:r>
        <w:proofErr w:type="spellStart"/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HandTutor</w:t>
        </w:r>
        <w:proofErr w:type="spellEnd"/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 xml:space="preserve"> Hand Simulator and </w:t>
        </w:r>
        <w:proofErr w:type="spellStart"/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Stabilometric</w:t>
        </w:r>
        <w:proofErr w:type="spellEnd"/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 xml:space="preserve"> Postural Control Using the Biofeedback Tear in Preschool and Primary School Children with Cerebral Palsy / U. Sh. </w:t>
        </w:r>
        <w:proofErr w:type="spellStart"/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Ashrafova</w:t>
        </w:r>
        <w:proofErr w:type="spellEnd"/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 xml:space="preserve">, A. M. Mamedyarov, E. K. </w:t>
        </w:r>
        <w:proofErr w:type="spellStart"/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Karmazina</w:t>
        </w:r>
        <w:proofErr w:type="spellEnd"/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 xml:space="preserve"> [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и</w:t>
        </w:r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др</w:t>
        </w:r>
        <w:proofErr w:type="spellEnd"/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 xml:space="preserve">.] // Pediatric pharmacology. – 2025. –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Т</w:t>
        </w:r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 xml:space="preserve">. 21. – № 6. – 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</w:t>
        </w:r>
        <w:r w:rsidRPr="00D72E08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/>
          </w:rPr>
          <w:t>. 481-491. </w:t>
        </w:r>
      </w:hyperlink>
    </w:p>
    <w:sectPr w:rsidR="004B0AB4" w:rsidRPr="00D72E08">
      <w:pgSz w:w="11909" w:h="16834"/>
      <w:pgMar w:top="1134" w:right="1361" w:bottom="1134" w:left="136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2DE3E58-37E1-7942-9604-9CB0CBDDE07D}"/>
    <w:embedItalic r:id="rId2" w:fontKey="{9CB9EB37-4CB7-FD42-A0D4-736830C7A2C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B39D5A6D-313C-3648-9696-F3D9D6A9F649}"/>
    <w:embedBold r:id="rId4" w:fontKey="{1A6D5F53-2142-464B-B22F-6587AA82EA3F}"/>
    <w:embedItalic r:id="rId5" w:fontKey="{D5D49A59-0D7A-9E46-AB56-7D97A326BD8B}"/>
    <w:embedBoldItalic r:id="rId6" w:fontKey="{B0A5CB7B-CD1F-B543-8EB3-F6039A246D3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7" w:fontKey="{863376EA-85D4-7C42-A1C5-972AC376D63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AB8259CC-065D-2D43-93E7-21F58CC486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AB4"/>
    <w:rsid w:val="004B0AB4"/>
    <w:rsid w:val="00D72E08"/>
    <w:rsid w:val="00FF5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CF4E77B"/>
  <w15:docId w15:val="{2BC915FB-674D-184D-9406-0CCA04806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otero.org/google-docs/?YXBb90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zotero.org/google-docs/?YXBb9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zotero.org/google-docs/?YXBb90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zotero.org/google-docs/?YXBb90" TargetMode="External"/><Relationship Id="rId10" Type="http://schemas.openxmlformats.org/officeDocument/2006/relationships/fontTable" Target="fontTable.xml"/><Relationship Id="rId4" Type="http://schemas.openxmlformats.org/officeDocument/2006/relationships/hyperlink" Target="mailto:mariannasemenova395@gmail.com" TargetMode="External"/><Relationship Id="rId9" Type="http://schemas.openxmlformats.org/officeDocument/2006/relationships/hyperlink" Target="https://www.zotero.org/google-docs/?YXBb90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588</Words>
  <Characters>3353</Characters>
  <Application>Microsoft Office Word</Application>
  <DocSecurity>0</DocSecurity>
  <Lines>27</Lines>
  <Paragraphs>7</Paragraphs>
  <ScaleCrop>false</ScaleCrop>
  <Company/>
  <LinksUpToDate>false</LinksUpToDate>
  <CharactersWithSpaces>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Сергей Иванов</cp:lastModifiedBy>
  <cp:revision>2</cp:revision>
  <dcterms:created xsi:type="dcterms:W3CDTF">2026-04-04T15:47:00Z</dcterms:created>
  <dcterms:modified xsi:type="dcterms:W3CDTF">2026-04-04T15:48:00Z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3D3DA10D142E4415B459C4E866C3406F_12</vt:lpwstr>
  </property>
</Properties>
</file>