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ACF4">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Стратегии формирования общественного мнения о СВО в медиадискурсе Республики Саха (Якутия): когнитивные механизмы и нарративы</w:t>
      </w:r>
    </w:p>
    <w:p w14:paraId="7868CB7E">
      <w:pPr>
        <w:jc w:val="center"/>
        <w:rPr>
          <w:rFonts w:ascii="Times New Roman" w:hAnsi="Times New Roman" w:cs="Times New Roman"/>
          <w:b/>
          <w:bCs/>
          <w:sz w:val="24"/>
          <w:szCs w:val="24"/>
          <w:lang w:val="ru-RU"/>
        </w:rPr>
      </w:pPr>
    </w:p>
    <w:p w14:paraId="5B637BAC">
      <w:pPr>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Санников Владислав Дмитриевич</w:t>
      </w:r>
    </w:p>
    <w:p w14:paraId="026315A1">
      <w:pPr>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Студент</w:t>
      </w:r>
    </w:p>
    <w:p w14:paraId="46AD7F7F">
      <w:pPr>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ФГАОУ ВО «Северо-Восточный Федеральный Университет </w:t>
      </w:r>
    </w:p>
    <w:p w14:paraId="5F466D87">
      <w:pPr>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им. М.К. Аммосова»</w:t>
      </w:r>
    </w:p>
    <w:p w14:paraId="79C253B3">
      <w:pPr>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Исторический факультет, Якутск, Россия</w:t>
      </w:r>
    </w:p>
    <w:p w14:paraId="1E1DD7CF">
      <w:pPr>
        <w:numPr>
          <w:ilvl w:val="0"/>
          <w:numId w:val="1"/>
        </w:numPr>
        <w:jc w:val="center"/>
        <w:rPr>
          <w:rFonts w:ascii="Times New Roman" w:hAnsi="Times New Roman" w:cs="Times New Roman"/>
          <w:i/>
          <w:iCs/>
          <w:sz w:val="24"/>
          <w:szCs w:val="24"/>
        </w:rPr>
      </w:pPr>
      <w:r>
        <w:rPr>
          <w:rFonts w:ascii="Times New Roman" w:hAnsi="Times New Roman" w:cs="Times New Roman"/>
          <w:i/>
          <w:iCs/>
          <w:sz w:val="24"/>
          <w:szCs w:val="24"/>
        </w:rPr>
        <w:t>mail</w:t>
      </w:r>
      <w:r>
        <w:rPr>
          <w:rFonts w:ascii="Times New Roman" w:hAnsi="Times New Roman" w:cs="Times New Roman"/>
          <w:i/>
          <w:iCs/>
          <w:sz w:val="24"/>
          <w:szCs w:val="24"/>
          <w:lang w:val="ru-RU"/>
        </w:rPr>
        <w:t xml:space="preserve">: </w:t>
      </w:r>
      <w:r>
        <w:fldChar w:fldCharType="begin"/>
      </w:r>
      <w:r>
        <w:instrText xml:space="preserve"> HYPERLINK "mailto:vladsannikov448@gmail.com" </w:instrText>
      </w:r>
      <w:r>
        <w:fldChar w:fldCharType="separate"/>
      </w:r>
      <w:r>
        <w:rPr>
          <w:rStyle w:val="6"/>
          <w:rFonts w:ascii="Times New Roman" w:hAnsi="Times New Roman" w:cs="Times New Roman"/>
          <w:i/>
          <w:iCs/>
          <w:sz w:val="24"/>
          <w:szCs w:val="24"/>
        </w:rPr>
        <w:t>vladsannikov448@gmail.com</w:t>
      </w:r>
      <w:r>
        <w:rPr>
          <w:rStyle w:val="6"/>
          <w:rFonts w:ascii="Times New Roman" w:hAnsi="Times New Roman" w:cs="Times New Roman"/>
          <w:i/>
          <w:iCs/>
          <w:sz w:val="24"/>
          <w:szCs w:val="24"/>
        </w:rPr>
        <w:fldChar w:fldCharType="end"/>
      </w:r>
    </w:p>
    <w:p w14:paraId="66DF489D">
      <w:pPr>
        <w:jc w:val="both"/>
        <w:rPr>
          <w:rFonts w:ascii="Times New Roman" w:hAnsi="Times New Roman" w:cs="Times New Roman"/>
          <w:i/>
          <w:iCs/>
          <w:sz w:val="24"/>
          <w:szCs w:val="24"/>
        </w:rPr>
      </w:pPr>
    </w:p>
    <w:p w14:paraId="1874D513">
      <w:pPr>
        <w:jc w:val="both"/>
        <w:rPr>
          <w:rFonts w:ascii="Times New Roman" w:hAnsi="Times New Roman" w:cs="Times New Roman"/>
          <w:sz w:val="24"/>
          <w:szCs w:val="24"/>
          <w:lang w:val="ru-RU"/>
        </w:rPr>
      </w:pPr>
      <w:r>
        <w:rPr>
          <w:rFonts w:ascii="Times New Roman" w:hAnsi="Times New Roman" w:cs="Times New Roman"/>
          <w:szCs w:val="24"/>
          <w:lang w:val="ru-RU"/>
        </w:rPr>
        <w:tab/>
      </w:r>
      <w:r>
        <w:rPr>
          <w:rFonts w:ascii="Times New Roman" w:hAnsi="Times New Roman" w:cs="Times New Roman"/>
          <w:sz w:val="24"/>
          <w:szCs w:val="24"/>
          <w:lang w:val="ru-RU"/>
        </w:rPr>
        <w:t>В условиях геополитического противостояния государственная информационная политика сталкивается с противоречием между необходимостью упрощения сложных явлений для массового восприятия и многоуровневой природой общественного сознания. Особую актуальность эта проблема приобретает в многонациональных регионах, где федеральные нарративы требуют адаптации к локальному социокультурному коду. Цель данного исследования заключается в выявлении, систематизации и анализе ключевых стратегий информационного воздействия, используемых для консолидации общества вокруг целей СВО в Республике Саха (Якутия), и оценке их эффективности через призму восприятия и возникающих смысловых оппозиций.</w:t>
      </w:r>
    </w:p>
    <w:p w14:paraId="56A547D3">
      <w:pPr>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Теоретико-методологическую базу составил синтез теории когнитивного диссонанса Л. Фестингера [1], критического дискурс-анализа Т. ван Дейка и теории фрейминга Р. Энтмана. Эмпирическую базу — материалы федеральных и региональных СМИ, официальные заявления властей, контент оппозиционных </w:t>
      </w:r>
      <w:r>
        <w:rPr>
          <w:rFonts w:ascii="Times New Roman" w:hAnsi="Times New Roman" w:cs="Times New Roman"/>
          <w:sz w:val="24"/>
          <w:szCs w:val="24"/>
        </w:rPr>
        <w:t>Telegram</w:t>
      </w:r>
      <w:r>
        <w:rPr>
          <w:rFonts w:ascii="Times New Roman" w:hAnsi="Times New Roman" w:cs="Times New Roman"/>
          <w:sz w:val="24"/>
          <w:szCs w:val="24"/>
          <w:lang w:val="ru-RU"/>
        </w:rPr>
        <w:t xml:space="preserve">-каналов, а также данные социологических опросов за 2022–2026 гг. </w:t>
      </w:r>
      <w:r>
        <w:rPr>
          <w:rFonts w:ascii="Times New Roman" w:hAnsi="Times New Roman" w:cs="Times New Roman"/>
          <w:sz w:val="24"/>
          <w:szCs w:val="24"/>
        </w:rPr>
        <w:t>[2].</w:t>
      </w:r>
    </w:p>
    <w:p w14:paraId="25D7886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работе обоснован тезис о том, что начало СВО спровоцировало состояние массового когнитивного диссонанса, глубина которого варьируется в зависимости от поколенческого опыта и степени интернализации западных ценностей. Наибольший внутриличностный конфликт зафиксирован у поколения миллениалов, что потребовало от государства выработки компенсаторных механизмов. Федеральный центр предложил два ключевых нарратива: исторический (преемственность поколений в борьбе с нацизмом) и социально-управленческий (формирование новой элиты из участников СВО).</w:t>
      </w:r>
    </w:p>
    <w:p w14:paraId="205E2D96">
      <w:pPr>
        <w:ind w:firstLine="720"/>
        <w:jc w:val="both"/>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t xml:space="preserve">На примере Якутии нами выявлены следующие каналы дискурсивных стратегий: традиционные медиа с функцией формирования официальной повестки (репортажи с передовой, сюжеты о геополитике); ритуально-событийный канал, который интегрирует события в духовную сферу; исторический канал, отвечающий за установление причинно-следственных связей и выработку идей преемственности; культурно-символический канал, переводящий повестку в культуру, мифологию и искусство; социально-управленческий канал демонстрации материального стимулирования; канал социальных сетей, где идет персонализация героев и создание эффекта причастности. </w:t>
      </w:r>
    </w:p>
    <w:p w14:paraId="6F722620">
      <w:pPr>
        <w:ind w:firstLine="720"/>
        <w:jc w:val="both"/>
        <w:rPr>
          <w:rFonts w:ascii="Times New Roman" w:hAnsi="Times New Roman" w:cs="Times New Roman"/>
          <w:sz w:val="24"/>
          <w:szCs w:val="24"/>
          <w:lang w:val="ru-RU"/>
        </w:rPr>
      </w:pPr>
      <w:r>
        <w:rPr>
          <w:rFonts w:ascii="Times New Roman" w:hAnsi="Times New Roman" w:cs="Times New Roman"/>
          <w:sz w:val="24"/>
          <w:szCs w:val="24"/>
          <w:highlight w:val="none"/>
          <w:lang w:val="ru-RU"/>
        </w:rPr>
        <w:t>Данный кейс демонстрирует,</w:t>
      </w:r>
      <w:r>
        <w:rPr>
          <w:rFonts w:ascii="Times New Roman" w:hAnsi="Times New Roman" w:cs="Times New Roman"/>
          <w:sz w:val="24"/>
          <w:szCs w:val="24"/>
          <w:lang w:val="ru-RU"/>
        </w:rPr>
        <w:t xml:space="preserve"> что успех реализации информационной политики зависит от способности региональных элит адаптировать федеральные смыслы. Выявлен комплексный подход, интегрирующий тему СВО во все сферы общественной жизни через несколько каналов трансляции. Традиционные медиа обеспечивают легитимацию и официальную повестку. Ключевую роль играют культурно-символические каналы: использование обряда благословения «Алгыс» для сакрализации защиты Отечества и отождествление участников СВО с эпическими героями-«боотурами» [3], что позволяет перевести патриотический призыв на уровень родовых ценностей народа саха.</w:t>
      </w:r>
    </w:p>
    <w:p w14:paraId="2739566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Особое внимание уделено социально-управленческому каналу, реализуемому через кадровые программы «Время героев» и региональную </w:t>
      </w:r>
      <w:r>
        <w:rPr>
          <w:rFonts w:ascii="Times New Roman" w:hAnsi="Times New Roman" w:cs="Times New Roman"/>
          <w:sz w:val="24"/>
          <w:szCs w:val="24"/>
        </w:rPr>
        <w:t xml:space="preserve">«Якутия — земля героев». </w:t>
      </w:r>
      <w:r>
        <w:rPr>
          <w:rFonts w:ascii="Times New Roman" w:hAnsi="Times New Roman" w:cs="Times New Roman"/>
          <w:sz w:val="24"/>
          <w:szCs w:val="24"/>
          <w:lang w:val="ru-RU"/>
        </w:rPr>
        <w:t>Они трансформируют участие в военных действиях в рациональный социальный лифт, предлагая карьерные перспективы в системе госуправления. Назначение Героя России, участника СВО Н.С. Соболева помощником Главы Якутии по кадровым вопросам символизирует институционализацию этого нарратива и переход от риторики к реальной кадровой политике, закрепляя в общественном сознании модель «рационального патриотизма».</w:t>
      </w:r>
    </w:p>
    <w:p w14:paraId="796F8607">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Однако анализ оппозиционного сегмента регионального цифрового пространства (в частности, материалов фонда «Свободная Якутия»*) выявил «болевые точки» официальной повестки. Классифицированы два основных контр-нарратива: антивоенно-правозащитный (акцентирующий «преступный» и «этноцидальный» характер конфликта) и социально-экономический. Последний ставит под сомнение исключительно патриотическую мотивацию участников СВО, указывая на материальную нужду и дефицит альтернатив заработка как на ключевой драйвер контрактной службы.</w:t>
      </w:r>
    </w:p>
    <w:p w14:paraId="54AF509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Таким образом, стратегия формирования общественного мнения о СВО в Якутии представляет собой многокомпонентную систему, сочетающую жесткость федеральных смыслов с гибкостью локальной культурной символики и прагматикой социальных лифтов. Эффективность системы подтверждается общей стабильностью общественных настроений, однако наличие контр-нарративов, особенно социально-экономического, диктует необходимость дальнейшего мониторинга скрытых общественных запросов. </w:t>
      </w:r>
      <w:r>
        <w:rPr>
          <w:rFonts w:ascii="Times New Roman" w:hAnsi="Times New Roman" w:cs="Times New Roman"/>
          <w:sz w:val="24"/>
          <w:szCs w:val="24"/>
          <w:highlight w:val="none"/>
          <w:lang w:val="ru-RU"/>
        </w:rPr>
        <w:t>Не исключается тенденции усталости целевых групп от применения силовых когнитивных стратегий и простых объяснительных схем. В этой связи рекомендуется переход к дискурсивным и аналитическим инструментам для удержания интеллектуально рефлексирующей аудитори</w:t>
      </w:r>
      <w:bookmarkStart w:id="0" w:name="_GoBack"/>
      <w:bookmarkEnd w:id="0"/>
      <w:r>
        <w:rPr>
          <w:rFonts w:ascii="Times New Roman" w:hAnsi="Times New Roman" w:cs="Times New Roman"/>
          <w:sz w:val="24"/>
          <w:szCs w:val="24"/>
          <w:highlight w:val="none"/>
          <w:lang w:val="ru-RU"/>
        </w:rPr>
        <w:t>и.</w:t>
      </w:r>
    </w:p>
    <w:p w14:paraId="0D8001F3">
      <w:pPr>
        <w:jc w:val="both"/>
        <w:rPr>
          <w:rFonts w:ascii="Times New Roman" w:hAnsi="Times New Roman" w:cs="Times New Roman"/>
          <w:sz w:val="24"/>
          <w:szCs w:val="24"/>
          <w:lang w:val="ru-RU"/>
        </w:rPr>
      </w:pPr>
    </w:p>
    <w:p w14:paraId="70C68061">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Литература</w:t>
      </w:r>
    </w:p>
    <w:p w14:paraId="492FF296">
      <w:pPr>
        <w:jc w:val="both"/>
        <w:rPr>
          <w:rFonts w:ascii="Times New Roman" w:hAnsi="Times New Roman" w:cs="Times New Roman"/>
          <w:sz w:val="24"/>
          <w:szCs w:val="24"/>
          <w:lang w:val="ru-RU"/>
        </w:rPr>
      </w:pPr>
    </w:p>
    <w:p w14:paraId="13423436">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Фестингер Л. Теория когнитивного диссонанса. — СПб.: Ювента, 1999. — 318 с..</w:t>
      </w:r>
    </w:p>
    <w:p w14:paraId="62067D87">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 xml:space="preserve">Медведев Д.А. Преемственность поколений: Защита Родины тогда и сейчас // Официальный </w:t>
      </w:r>
      <w:r>
        <w:rPr>
          <w:rFonts w:ascii="Times New Roman" w:hAnsi="Times New Roman" w:cs="Times New Roman"/>
          <w:sz w:val="24"/>
          <w:szCs w:val="24"/>
        </w:rPr>
        <w:t>Telegram</w:t>
      </w:r>
      <w:r>
        <w:rPr>
          <w:rFonts w:ascii="Times New Roman" w:hAnsi="Times New Roman" w:cs="Times New Roman"/>
          <w:sz w:val="24"/>
          <w:szCs w:val="24"/>
          <w:lang w:val="ru-RU"/>
        </w:rPr>
        <w:t>-канал Дмитрия Медведева. — 2023. — 8 мая..</w:t>
      </w:r>
    </w:p>
    <w:p w14:paraId="25CDB741">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 xml:space="preserve">В Якутии трудоустроен 121 ветеран СВО за 2025 год // Национальные проекты России. — 2026. — 15 января.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"https://xn--80aapampemcchfmo7a3c9ehj.xn--p1ai/" \t "https://chat.deepseek.com/a/chat/s/_blank" </w:instrText>
      </w:r>
      <w:r>
        <w:fldChar w:fldCharType="separate"/>
      </w:r>
      <w:r>
        <w:rPr>
          <w:rStyle w:val="6"/>
          <w:rFonts w:ascii="Times New Roman" w:hAnsi="Times New Roman" w:eastAsia="Segoe UI" w:cs="Times New Roman"/>
          <w:color w:val="3964FE"/>
          <w:sz w:val="24"/>
          <w:szCs w:val="24"/>
          <w:u w:val="none"/>
          <w:shd w:val="clear" w:color="auto" w:fill="FFFFFF"/>
        </w:rPr>
        <w:t>https</w:t>
      </w:r>
      <w:r>
        <w:rPr>
          <w:rStyle w:val="6"/>
          <w:rFonts w:ascii="Times New Roman" w:hAnsi="Times New Roman" w:eastAsia="Segoe UI" w:cs="Times New Roman"/>
          <w:color w:val="3964FE"/>
          <w:sz w:val="24"/>
          <w:szCs w:val="24"/>
          <w:u w:val="none"/>
          <w:shd w:val="clear" w:color="auto" w:fill="FFFFFF"/>
          <w:lang w:val="ru-RU"/>
        </w:rPr>
        <w:t>://национальныепроекты.рф</w:t>
      </w:r>
      <w:r>
        <w:rPr>
          <w:rStyle w:val="6"/>
          <w:rFonts w:ascii="Times New Roman" w:hAnsi="Times New Roman" w:eastAsia="Segoe UI" w:cs="Times New Roman"/>
          <w:color w:val="3964FE"/>
          <w:sz w:val="24"/>
          <w:szCs w:val="24"/>
          <w:u w:val="none"/>
          <w:shd w:val="clear" w:color="auto" w:fill="FFFFFF"/>
          <w:lang w:val="ru-RU"/>
        </w:rPr>
        <w:fldChar w:fldCharType="end"/>
      </w:r>
      <w:r>
        <w:rPr>
          <w:rFonts w:ascii="Times New Roman" w:hAnsi="Times New Roman" w:cs="Times New Roman"/>
          <w:sz w:val="24"/>
          <w:szCs w:val="24"/>
        </w:rPr>
        <w:t> </w:t>
      </w:r>
      <w:r>
        <w:rPr>
          <w:rFonts w:ascii="Times New Roman" w:hAnsi="Times New Roman" w:cs="Times New Roman"/>
          <w:sz w:val="24"/>
          <w:szCs w:val="24"/>
          <w:lang w:val="ru-RU"/>
        </w:rPr>
        <w:t>(дата обращения: 10.03.2026).</w:t>
      </w:r>
    </w:p>
    <w:p w14:paraId="6CED15D9">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 xml:space="preserve">Официальный сайт Главы Республики Саха (Якутия) и Правительства РС(Я). Старт кадровой программы «Якутия — земля героев». — 2025. — 15 июня.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"https://glava.sakha.gov.ru/" \t "https://chat.deepseek.com/a/chat/s/_blank" </w:instrText>
      </w:r>
      <w:r>
        <w:fldChar w:fldCharType="separate"/>
      </w:r>
      <w:r>
        <w:rPr>
          <w:rStyle w:val="6"/>
          <w:rFonts w:ascii="Times New Roman" w:hAnsi="Times New Roman" w:eastAsia="Segoe UI" w:cs="Times New Roman"/>
          <w:color w:val="3964FE"/>
          <w:sz w:val="24"/>
          <w:szCs w:val="24"/>
          <w:u w:val="none"/>
          <w:shd w:val="clear" w:color="auto" w:fill="FFFFFF"/>
        </w:rPr>
        <w:t>https</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glava</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sakha</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gov</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ru</w:t>
      </w:r>
      <w:r>
        <w:rPr>
          <w:rStyle w:val="6"/>
          <w:rFonts w:ascii="Times New Roman" w:hAnsi="Times New Roman" w:eastAsia="Segoe UI" w:cs="Times New Roman"/>
          <w:color w:val="3964FE"/>
          <w:sz w:val="24"/>
          <w:szCs w:val="24"/>
          <w:u w:val="none"/>
          <w:shd w:val="clear" w:color="auto" w:fill="FFFFFF"/>
        </w:rPr>
        <w:fldChar w:fldCharType="end"/>
      </w:r>
      <w:r>
        <w:rPr>
          <w:rFonts w:ascii="Times New Roman" w:hAnsi="Times New Roman" w:cs="Times New Roman"/>
          <w:sz w:val="24"/>
          <w:szCs w:val="24"/>
        </w:rPr>
        <w:t> </w:t>
      </w:r>
      <w:r>
        <w:rPr>
          <w:rFonts w:ascii="Times New Roman" w:hAnsi="Times New Roman" w:cs="Times New Roman"/>
          <w:sz w:val="24"/>
          <w:szCs w:val="24"/>
          <w:lang w:val="ru-RU"/>
        </w:rPr>
        <w:t>(дата обращения: 10.03.2026).</w:t>
      </w:r>
    </w:p>
    <w:p w14:paraId="49287B62">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 xml:space="preserve">/ ВЦИОМ. — 2026. — 2 февраля.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"https://wciom.ru/analytical-reviews" \t "https://chat.deepseek.com/a/chat/s/_blank" </w:instrText>
      </w:r>
      <w:r>
        <w:fldChar w:fldCharType="separate"/>
      </w:r>
      <w:r>
        <w:rPr>
          <w:rStyle w:val="6"/>
          <w:rFonts w:ascii="Times New Roman" w:hAnsi="Times New Roman" w:eastAsia="Segoe UI" w:cs="Times New Roman"/>
          <w:color w:val="3964FE"/>
          <w:sz w:val="24"/>
          <w:szCs w:val="24"/>
          <w:u w:val="none"/>
          <w:shd w:val="clear" w:color="auto" w:fill="FFFFFF"/>
        </w:rPr>
        <w:t>https</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wciom</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ru</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analytical</w:t>
      </w:r>
      <w:r>
        <w:rPr>
          <w:rStyle w:val="6"/>
          <w:rFonts w:ascii="Times New Roman" w:hAnsi="Times New Roman" w:eastAsia="Segoe UI" w:cs="Times New Roman"/>
          <w:color w:val="3964FE"/>
          <w:sz w:val="24"/>
          <w:szCs w:val="24"/>
          <w:u w:val="none"/>
          <w:shd w:val="clear" w:color="auto" w:fill="FFFFFF"/>
          <w:lang w:val="ru-RU"/>
        </w:rPr>
        <w:t>-</w:t>
      </w:r>
      <w:r>
        <w:rPr>
          <w:rStyle w:val="6"/>
          <w:rFonts w:ascii="Times New Roman" w:hAnsi="Times New Roman" w:eastAsia="Segoe UI" w:cs="Times New Roman"/>
          <w:color w:val="3964FE"/>
          <w:sz w:val="24"/>
          <w:szCs w:val="24"/>
          <w:u w:val="none"/>
          <w:shd w:val="clear" w:color="auto" w:fill="FFFFFF"/>
        </w:rPr>
        <w:t>reviews</w:t>
      </w:r>
      <w:r>
        <w:rPr>
          <w:rStyle w:val="6"/>
          <w:rFonts w:ascii="Times New Roman" w:hAnsi="Times New Roman" w:eastAsia="Segoe UI" w:cs="Times New Roman"/>
          <w:color w:val="3964FE"/>
          <w:sz w:val="24"/>
          <w:szCs w:val="24"/>
          <w:u w:val="none"/>
          <w:shd w:val="clear" w:color="auto" w:fill="FFFFFF"/>
        </w:rPr>
        <w:fldChar w:fldCharType="end"/>
      </w:r>
      <w:r>
        <w:rPr>
          <w:rFonts w:ascii="Times New Roman" w:hAnsi="Times New Roman" w:cs="Times New Roman"/>
          <w:sz w:val="24"/>
          <w:szCs w:val="24"/>
        </w:rPr>
        <w:t> </w:t>
      </w:r>
      <w:r>
        <w:rPr>
          <w:rFonts w:ascii="Times New Roman" w:hAnsi="Times New Roman" w:cs="Times New Roman"/>
          <w:sz w:val="24"/>
          <w:szCs w:val="24"/>
          <w:lang w:val="ru-RU"/>
        </w:rPr>
        <w:t>(дата обращения: 10.03.2026)</w:t>
      </w:r>
    </w:p>
    <w:p w14:paraId="2D343FDD">
      <w:pPr>
        <w:jc w:val="both"/>
        <w:rPr>
          <w:rFonts w:ascii="Times New Roman" w:hAnsi="Times New Roman" w:cs="Times New Roman"/>
          <w:sz w:val="24"/>
          <w:szCs w:val="24"/>
          <w:lang w:val="ru-RU"/>
        </w:rPr>
      </w:pPr>
    </w:p>
    <w:sectPr>
      <w:pgSz w:w="11906" w:h="16838"/>
      <w:pgMar w:top="1134" w:right="1361" w:bottom="1134" w:left="136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D8C43"/>
    <w:multiLevelType w:val="singleLevel"/>
    <w:tmpl w:val="314D8C43"/>
    <w:lvl w:ilvl="0" w:tentative="0">
      <w:start w:val="5"/>
      <w:numFmt w:val="upperLetter"/>
      <w:suff w:val="nothing"/>
      <w:lvlText w:val="%1-"/>
      <w:lvlJc w:val="left"/>
    </w:lvl>
  </w:abstractNum>
  <w:abstractNum w:abstractNumId="1">
    <w:nsid w:val="4DCA513D"/>
    <w:multiLevelType w:val="singleLevel"/>
    <w:tmpl w:val="4DCA513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111BE"/>
    <w:rsid w:val="00552FA8"/>
    <w:rsid w:val="00B15E1F"/>
    <w:rsid w:val="00B87750"/>
    <w:rsid w:val="570111BE"/>
    <w:rsid w:val="7B23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basedOn w:val="1"/>
    <w:uiPriority w:val="0"/>
    <w:rPr>
      <w:sz w:val="24"/>
      <w:szCs w:val="24"/>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896</Words>
  <Characters>5110</Characters>
  <Lines>42</Lines>
  <Paragraphs>11</Paragraphs>
  <TotalTime>15</TotalTime>
  <ScaleCrop>false</ScaleCrop>
  <LinksUpToDate>false</LinksUpToDate>
  <CharactersWithSpaces>5995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2026-03-07T04:55:00Z</dcterms:created>
  <dc:creator>Crazy</dc:creator>
  <cp:lastModifiedBy>Crazy</cp:lastModifiedBy>
  <dcterms:modified xsi:type="dcterms:W3CDTF">2026-03-09T05:57:47Z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D774D2A145AB4D2889F3FFE76C9474DF_11</vt:lpwstr>
  </property>
</Properties>
</file>