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9D8A" w14:textId="77777777" w:rsidR="00E40540" w:rsidRPr="00E40540" w:rsidRDefault="00E40540" w:rsidP="00CC7477">
      <w:pPr>
        <w:spacing w:before="20" w:after="100" w:afterAutospacing="1"/>
        <w:ind w:firstLine="426"/>
        <w:jc w:val="center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НОВЫЙ ПОДХОД К МЕТОДИКЕ СБОРА ДЕМОНСТРАЦИОННЫХ ДАННЫХ ДЛЯ МОДЕЛЕЙ КЛАССА VLA НА ОСНОВЕ ТЕЛЕОПЕРАЦИИ С ОБРАТНОЙ ЗАДАЧЕЙ КИНЕМАТИКИ</w:t>
      </w:r>
    </w:p>
    <w:p w14:paraId="515A9864" w14:textId="77777777" w:rsidR="00824091" w:rsidRDefault="00E40540" w:rsidP="00CC7477">
      <w:pPr>
        <w:spacing w:before="20" w:after="100" w:afterAutospacing="1"/>
        <w:ind w:firstLine="426"/>
        <w:jc w:val="center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824091">
        <w:rPr>
          <w:rFonts w:eastAsia="Times New Roman"/>
          <w:b/>
          <w:bCs/>
          <w:i/>
          <w:iCs/>
          <w:sz w:val="24"/>
          <w:szCs w:val="24"/>
          <w:lang w:eastAsia="ru-RU"/>
        </w:rPr>
        <w:t>Александров О.И.</w:t>
      </w:r>
    </w:p>
    <w:p w14:paraId="72F9668A" w14:textId="2AA6CE6C" w:rsidR="00824091" w:rsidRDefault="00824091" w:rsidP="00CC7477">
      <w:pPr>
        <w:spacing w:before="20" w:after="100" w:afterAutospacing="1"/>
        <w:ind w:firstLine="426"/>
        <w:jc w:val="center"/>
        <w:rPr>
          <w:rFonts w:eastAsia="Times New Roman"/>
          <w:i/>
          <w:iCs/>
          <w:sz w:val="24"/>
          <w:szCs w:val="24"/>
          <w:lang w:eastAsia="ru-RU"/>
        </w:rPr>
      </w:pPr>
      <w:r>
        <w:rPr>
          <w:rFonts w:eastAsia="Times New Roman"/>
          <w:i/>
          <w:iCs/>
          <w:sz w:val="24"/>
          <w:szCs w:val="24"/>
          <w:lang w:eastAsia="ru-RU"/>
        </w:rPr>
        <w:t>студент магистратуры</w:t>
      </w:r>
    </w:p>
    <w:p w14:paraId="16467866" w14:textId="798056ED" w:rsidR="00E40540" w:rsidRDefault="00E40540" w:rsidP="00CC7477">
      <w:pPr>
        <w:spacing w:before="20" w:after="100" w:afterAutospacing="1"/>
        <w:ind w:firstLine="426"/>
        <w:jc w:val="center"/>
        <w:rPr>
          <w:rFonts w:eastAsia="Times New Roman"/>
          <w:i/>
          <w:iCs/>
          <w:sz w:val="24"/>
          <w:szCs w:val="24"/>
          <w:lang w:eastAsia="ru-RU"/>
        </w:rPr>
      </w:pPr>
      <w:r w:rsidRPr="00E40540">
        <w:rPr>
          <w:rFonts w:eastAsia="Times New Roman"/>
          <w:i/>
          <w:iCs/>
          <w:sz w:val="24"/>
          <w:szCs w:val="24"/>
          <w:lang w:eastAsia="ru-RU"/>
        </w:rPr>
        <w:t>Государственный университет морского и речного флота имени адмирала С.О. Макарова</w:t>
      </w:r>
      <w:r w:rsidR="00B21A8E">
        <w:rPr>
          <w:rFonts w:eastAsia="Times New Roman"/>
          <w:i/>
          <w:iCs/>
          <w:sz w:val="24"/>
          <w:szCs w:val="24"/>
          <w:lang w:eastAsia="ru-RU"/>
        </w:rPr>
        <w:t xml:space="preserve">, кафедра вычислительных систем и информатики, </w:t>
      </w:r>
      <w:r w:rsidRPr="00E40540">
        <w:rPr>
          <w:rFonts w:eastAsia="Times New Roman"/>
          <w:i/>
          <w:iCs/>
          <w:sz w:val="24"/>
          <w:szCs w:val="24"/>
          <w:lang w:eastAsia="ru-RU"/>
        </w:rPr>
        <w:t>Санкт-Петербург, Россия</w:t>
      </w:r>
    </w:p>
    <w:p w14:paraId="4B93C632" w14:textId="783F75B4" w:rsidR="00B21A8E" w:rsidRPr="00D43E47" w:rsidRDefault="00B21A8E" w:rsidP="00CC7477">
      <w:pPr>
        <w:spacing w:before="20" w:after="100" w:afterAutospacing="1"/>
        <w:ind w:firstLine="426"/>
        <w:jc w:val="center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i/>
          <w:iCs/>
          <w:sz w:val="24"/>
          <w:szCs w:val="24"/>
          <w:lang w:val="en-US" w:eastAsia="ru-RU"/>
        </w:rPr>
        <w:t>olegzandroff</w:t>
      </w:r>
      <w:proofErr w:type="spellEnd"/>
      <w:r w:rsidRPr="00D43E47">
        <w:rPr>
          <w:rFonts w:eastAsia="Times New Roman"/>
          <w:i/>
          <w:iCs/>
          <w:sz w:val="24"/>
          <w:szCs w:val="24"/>
          <w:lang w:eastAsia="ru-RU"/>
        </w:rPr>
        <w:t>@</w:t>
      </w:r>
      <w:proofErr w:type="spellStart"/>
      <w:r>
        <w:rPr>
          <w:rFonts w:eastAsia="Times New Roman"/>
          <w:i/>
          <w:iCs/>
          <w:sz w:val="24"/>
          <w:szCs w:val="24"/>
          <w:lang w:val="en-US" w:eastAsia="ru-RU"/>
        </w:rPr>
        <w:t>gmail</w:t>
      </w:r>
      <w:proofErr w:type="spellEnd"/>
      <w:r w:rsidRPr="00D43E47">
        <w:rPr>
          <w:rFonts w:eastAsia="Times New Roman"/>
          <w:i/>
          <w:iCs/>
          <w:sz w:val="24"/>
          <w:szCs w:val="24"/>
          <w:lang w:eastAsia="ru-RU"/>
        </w:rPr>
        <w:t>.</w:t>
      </w:r>
      <w:r>
        <w:rPr>
          <w:rFonts w:eastAsia="Times New Roman"/>
          <w:i/>
          <w:iCs/>
          <w:sz w:val="24"/>
          <w:szCs w:val="24"/>
          <w:lang w:val="en-US" w:eastAsia="ru-RU"/>
        </w:rPr>
        <w:t>com</w:t>
      </w:r>
    </w:p>
    <w:p w14:paraId="28859C8D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Аннотация</w:t>
      </w:r>
    </w:p>
    <w:p w14:paraId="28D3893E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Работа посвящена разработке методики формирования наборов демонстрационных данных для адаптации моделей класса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Vision-Language-Action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(VLA) к манипуляторам с избыточными степенями свободы. Сформулирована задача управления в терминах обучения с подражанием, определены физические ограничения системы и математическая постановка целевой функции. Реализована система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на основе обратной кинематики для манипулятора с 7 степенями свободы. Получен набор данных в формате RLDS (~100 эпизодов), готовый для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дообучения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моделей класса VLA. Установлена связь между задачей кинематического управления в режиме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и целевой функцией имитационного обучения.</w:t>
      </w:r>
    </w:p>
    <w:p w14:paraId="5644D5F4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Введение</w:t>
      </w:r>
    </w:p>
    <w:p w14:paraId="29D0E7F4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Модели класса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Vision-Language-Action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(VLA) представляют собой параметрические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аппроксиматоры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политики управления, обучаемые методом имитационного обучения на наборах демонстрационных траекторий. Согласно современной классификации, VLA-модели разделяются на модели с дискретным пространством действий (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OpenVLA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>, RT-2) и модели с непрерывным пространством действий (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Octo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>, π₀). Несмотря на различия в архитектуре, все модели требуют набора демонстрационных траекторий для адаптации к конкретной физической системе.</w:t>
      </w:r>
    </w:p>
    <w:p w14:paraId="4E5F4E36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Ключевая проблема применения VLA к конкретным физическим системам заключается в формировании набора данных, соответствующего кинематической схеме целевого манипулятора. В данной работе представлена методика сбора демонстрационных данных на основе системы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с решением обратной задачи кинематики.</w:t>
      </w:r>
    </w:p>
    <w:p w14:paraId="39484DE7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Физическая система</w:t>
      </w:r>
    </w:p>
    <w:p w14:paraId="25E15A0E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Объектом управления выступал манипулятор с n=7 степенями свободы. Кинематическая схема характеризуется ограничениями на обобщённые координаты:</w:t>
      </w:r>
    </w:p>
    <w:p w14:paraId="51489B55" w14:textId="270FD9F7" w:rsidR="00E40540" w:rsidRPr="00E40540" w:rsidRDefault="00EE20AA" w:rsidP="00CC7477">
      <w:pPr>
        <w:spacing w:before="20"/>
        <w:ind w:firstLine="426"/>
        <w:rPr>
          <w:rFonts w:eastAsia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min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≤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≤</m:t>
        </m:r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max</m:t>
            </m:r>
          </m:sup>
        </m:sSubSup>
        <m:r>
          <w:rPr>
            <w:rFonts w:ascii="Cambria Math" w:eastAsia="Times New Roman" w:hAnsi="Cambria Math"/>
            <w:sz w:val="24"/>
            <w:szCs w:val="24"/>
            <w:lang w:eastAsia="ru-RU"/>
          </w:rPr>
          <m:t>,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 </m:t>
        </m:r>
        <m:r>
          <w:rPr>
            <w:rFonts w:ascii="Cambria Math" w:eastAsia="Times New Roman" w:hAnsi="Cambria Math"/>
            <w:sz w:val="24"/>
            <w:szCs w:val="24"/>
            <w:lang w:eastAsia="ru-RU"/>
          </w:rPr>
          <m:t>i=1,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…</m:t>
        </m:r>
        <m:r>
          <w:rPr>
            <w:rFonts w:ascii="Cambria Math" w:eastAsia="Times New Roman" w:hAnsi="Cambria Math"/>
            <w:sz w:val="24"/>
            <w:szCs w:val="24"/>
            <w:lang w:eastAsia="ru-RU"/>
          </w:rPr>
          <m:t>,7</m:t>
        </m:r>
      </m:oMath>
      <w:r w:rsidR="00E40540" w:rsidRPr="00E40540">
        <w:rPr>
          <w:rFonts w:eastAsia="Times New Roman"/>
          <w:sz w:val="24"/>
          <w:szCs w:val="24"/>
          <w:lang w:eastAsia="ru-RU"/>
        </w:rPr>
        <w:t>,</w:t>
      </w:r>
    </w:p>
    <w:p w14:paraId="697BFA52" w14:textId="174A169E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</m:t>
            </m:r>
          </m:sub>
        </m:sSub>
      </m:oMath>
      <w:r w:rsidRPr="00E40540">
        <w:rPr>
          <w:rFonts w:eastAsia="Times New Roman"/>
          <w:sz w:val="24"/>
          <w:szCs w:val="24"/>
          <w:lang w:eastAsia="ru-RU"/>
        </w:rPr>
        <w:t xml:space="preserve"> — угол поворота i-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го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сустава. Пределы обусловлены конструкцией сочленений и являются жёсткими физическими ограничениями.</w:t>
      </w:r>
    </w:p>
    <w:p w14:paraId="543F11F3" w14:textId="7ACBA3C5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lastRenderedPageBreak/>
        <w:t xml:space="preserve">Положение рабочего органа в декартовом пространстве описывается матрицей однородного преобразования 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T 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∈</m:t>
        </m:r>
        <m:r>
          <w:rPr>
            <w:rFonts w:ascii="Cambria Math" w:eastAsia="Times New Roman" w:hAnsi="Cambria Math"/>
            <w:sz w:val="24"/>
            <w:szCs w:val="24"/>
            <w:lang w:eastAsia="ru-RU"/>
          </w:rPr>
          <m:t>SE</m:t>
        </m:r>
      </m:oMath>
      <w:r w:rsidRPr="00E40540">
        <w:rPr>
          <w:rFonts w:eastAsia="Times New Roman"/>
          <w:sz w:val="24"/>
          <w:szCs w:val="24"/>
          <w:lang w:eastAsia="ru-RU"/>
        </w:rPr>
        <w:t>(3):</w:t>
      </w:r>
    </w:p>
    <w:p w14:paraId="12A08247" w14:textId="5A392169" w:rsidR="00E40540" w:rsidRPr="00F04EAA" w:rsidRDefault="00E40540" w:rsidP="00CC7477">
      <w:pPr>
        <w:spacing w:before="20"/>
        <w:ind w:firstLine="426"/>
        <w:rPr>
          <w:rFonts w:eastAsia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nary>
          <m:naryPr>
            <m:chr m:val="∏"/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=1</m:t>
            </m: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ru-RU"/>
              </w:rPr>
            </m:ctrlP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n</m:t>
            </m: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ru-RU"/>
              </w:rPr>
            </m:ctrlP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>i</m:t>
                </m:r>
              </m:sub>
            </m:sSub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i</m:t>
                    </m:r>
                  </m:sub>
                </m:sSub>
              </m:e>
            </m:d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ru-RU"/>
              </w:rPr>
            </m:ctrlPr>
          </m:e>
        </m:nary>
        <m: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R</m:t>
                  </m: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p</m:t>
                      </m:r>
                    </m:e>
                  </m:acc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0</m:t>
                  </m: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e>
              </m:mr>
            </m:m>
          </m:e>
        </m:d>
      </m:oMath>
      <w:r w:rsidRPr="00F04EAA">
        <w:rPr>
          <w:rFonts w:eastAsia="Times New Roman"/>
          <w:sz w:val="24"/>
          <w:szCs w:val="24"/>
          <w:lang w:eastAsia="ru-RU"/>
        </w:rPr>
        <w:t>,</w:t>
      </w:r>
    </w:p>
    <w:p w14:paraId="32B29FF5" w14:textId="36A5190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i</m:t>
                </m:r>
              </m:sub>
            </m:sSub>
          </m:e>
        </m:d>
      </m:oMath>
      <w:r w:rsidRPr="00E40540">
        <w:rPr>
          <w:rFonts w:eastAsia="Times New Roman"/>
          <w:sz w:val="24"/>
          <w:szCs w:val="24"/>
          <w:lang w:eastAsia="ru-RU"/>
        </w:rPr>
        <w:t xml:space="preserve"> — матрица преобразования звена, R — матрица поворота, </w:t>
      </w:r>
      <m:oMath>
        <m:acc>
          <m:accPr>
            <m:chr m:val="⃗"/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</m:t>
            </m:r>
          </m:e>
        </m:acc>
      </m:oMath>
      <w:r w:rsidRPr="00E40540">
        <w:rPr>
          <w:rFonts w:eastAsia="Times New Roman"/>
          <w:sz w:val="24"/>
          <w:szCs w:val="24"/>
          <w:lang w:eastAsia="ru-RU"/>
        </w:rPr>
        <w:t xml:space="preserve"> — вектор положения.</w:t>
      </w:r>
    </w:p>
    <w:p w14:paraId="09AF3C65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 xml:space="preserve">Связь </w:t>
      </w:r>
      <w:proofErr w:type="spellStart"/>
      <w:r w:rsidRPr="00E40540">
        <w:rPr>
          <w:rFonts w:eastAsia="Times New Roman"/>
          <w:b/>
          <w:bCs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b/>
          <w:bCs/>
          <w:sz w:val="24"/>
          <w:szCs w:val="24"/>
          <w:lang w:eastAsia="ru-RU"/>
        </w:rPr>
        <w:t xml:space="preserve"> и задачи обучения VLA</w:t>
      </w:r>
    </w:p>
    <w:p w14:paraId="22AC9F9F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Система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решает обратную задачу кинематики для преобразования команд оператора в декартовом пространстве в вектор обобщённых координат:</w:t>
      </w:r>
    </w:p>
    <w:p w14:paraId="537461B0" w14:textId="7876A832" w:rsidR="00E40540" w:rsidRPr="00E40540" w:rsidRDefault="00EE20AA" w:rsidP="00CC7477">
      <w:pPr>
        <w:spacing w:before="20"/>
        <w:ind w:firstLine="426"/>
        <w:rPr>
          <w:rFonts w:eastAsia="Times New Roman"/>
          <w:sz w:val="24"/>
          <w:szCs w:val="24"/>
          <w:lang w:eastAsia="ru-RU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q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-1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target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 </m:t>
          </m:r>
          <m:r>
            <m:rPr>
              <m:nor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при 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min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q</m:t>
              </m: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lang w:eastAsia="ru-RU"/>
            </w:rPr>
            <m:t>≤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q</m:t>
              </m:r>
              <m:ctrl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max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.</m:t>
          </m:r>
        </m:oMath>
      </m:oMathPara>
    </w:p>
    <w:p w14:paraId="32D48F5B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Данная система выполняет двойную функцию:</w:t>
      </w:r>
    </w:p>
    <w:p w14:paraId="1F8C578C" w14:textId="77777777" w:rsidR="00E40540" w:rsidRPr="00E40540" w:rsidRDefault="00E40540" w:rsidP="00CC7477">
      <w:pPr>
        <w:numPr>
          <w:ilvl w:val="0"/>
          <w:numId w:val="12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Непосредственное управление</w:t>
      </w:r>
      <w:r w:rsidRPr="00E40540">
        <w:rPr>
          <w:rFonts w:eastAsia="Times New Roman"/>
          <w:sz w:val="24"/>
          <w:szCs w:val="24"/>
          <w:lang w:eastAsia="ru-RU"/>
        </w:rPr>
        <w:t xml:space="preserve"> — преобразование целевых положений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схвата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в исполняемые команды приводов;</w:t>
      </w:r>
    </w:p>
    <w:p w14:paraId="66076641" w14:textId="518CFA91" w:rsidR="00E40540" w:rsidRPr="00E40540" w:rsidRDefault="00E40540" w:rsidP="00CC7477">
      <w:pPr>
        <w:numPr>
          <w:ilvl w:val="0"/>
          <w:numId w:val="12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Генерация обучающей выборки</w:t>
      </w:r>
      <w:r w:rsidRPr="00E40540">
        <w:rPr>
          <w:rFonts w:eastAsia="Times New Roman"/>
          <w:sz w:val="24"/>
          <w:szCs w:val="24"/>
          <w:lang w:eastAsia="ru-RU"/>
        </w:rPr>
        <w:t xml:space="preserve"> — запись траекторий 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O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t</m:t>
            </m:r>
          </m:sub>
        </m:sSub>
      </m:oMath>
      <w:r w:rsidRPr="00E40540">
        <w:rPr>
          <w:rFonts w:eastAsia="Times New Roman"/>
          <w:sz w:val="24"/>
          <w:szCs w:val="24"/>
          <w:lang w:eastAsia="ru-RU"/>
        </w:rPr>
        <w:t xml:space="preserve">) для формирования набора </w:t>
      </w:r>
      <m:oMath>
        <m:r>
          <m:rPr>
            <m:scr m:val="script"/>
          </m:rPr>
          <w:rPr>
            <w:rFonts w:ascii="Cambria Math" w:eastAsia="Times New Roman" w:hAnsi="Cambria Math"/>
            <w:sz w:val="24"/>
            <w:szCs w:val="24"/>
            <w:lang w:eastAsia="ru-RU"/>
          </w:rPr>
          <m:t>D</m:t>
        </m:r>
      </m:oMath>
      <w:r w:rsidRPr="00E40540">
        <w:rPr>
          <w:rFonts w:eastAsia="Times New Roman"/>
          <w:sz w:val="24"/>
          <w:szCs w:val="24"/>
          <w:lang w:eastAsia="ru-RU"/>
        </w:rPr>
        <w:t xml:space="preserve"> в целевой функции VLA.</w:t>
      </w:r>
    </w:p>
    <w:p w14:paraId="44EAC7FF" w14:textId="15281782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телеоперация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выступает как механизм сбора экспертных демонстраций, необходимых для адаптации параметрической политики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π</m:t>
            </m: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θ</m:t>
            </m:r>
          </m:sub>
        </m:sSub>
      </m:oMath>
      <w:r w:rsidRPr="00E40540">
        <w:rPr>
          <w:rFonts w:eastAsia="Times New Roman"/>
          <w:sz w:val="24"/>
          <w:szCs w:val="24"/>
          <w:lang w:eastAsia="ru-RU"/>
        </w:rPr>
        <w:t xml:space="preserve"> к конкретной физической системе.</w:t>
      </w:r>
    </w:p>
    <w:p w14:paraId="4941E05C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Методология сбора данных</w:t>
      </w:r>
    </w:p>
    <w:p w14:paraId="7F48F8C4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Полученные траектории конвертированы в формат RLDS (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Reinforcement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Learning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Dataset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Specification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>) и включают:</w:t>
      </w:r>
    </w:p>
    <w:p w14:paraId="2D7C851E" w14:textId="77777777" w:rsidR="00E40540" w:rsidRPr="00E40540" w:rsidRDefault="00E40540" w:rsidP="00CC7477">
      <w:pPr>
        <w:numPr>
          <w:ilvl w:val="0"/>
          <w:numId w:val="13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последовательности визуальных наблюдений;</w:t>
      </w:r>
    </w:p>
    <w:p w14:paraId="1D0BAAF0" w14:textId="77777777" w:rsidR="00E40540" w:rsidRPr="00E40540" w:rsidRDefault="00E40540" w:rsidP="00CC7477">
      <w:pPr>
        <w:numPr>
          <w:ilvl w:val="0"/>
          <w:numId w:val="13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текстовые инструкции, соответствующие выполняемым действиям;</w:t>
      </w:r>
    </w:p>
    <w:p w14:paraId="63A98743" w14:textId="77777777" w:rsidR="00E40540" w:rsidRPr="00E40540" w:rsidRDefault="00E40540" w:rsidP="00CC7477">
      <w:pPr>
        <w:numPr>
          <w:ilvl w:val="0"/>
          <w:numId w:val="13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векторы действий (углы сочленений, состояние захвата);</w:t>
      </w:r>
    </w:p>
    <w:p w14:paraId="79B6F984" w14:textId="77777777" w:rsidR="00E40540" w:rsidRPr="00E40540" w:rsidRDefault="00E40540" w:rsidP="00CC7477">
      <w:pPr>
        <w:numPr>
          <w:ilvl w:val="0"/>
          <w:numId w:val="13"/>
        </w:num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временные метки для синхронизации модальностей.</w:t>
      </w:r>
    </w:p>
    <w:p w14:paraId="7B8F3788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>Собрано ~100 демонстрационных эпизодов выполнения задач захвата и перемещения объектов. Данные нормализованы в соответствии с требованиями архитектур класса VLA.</w:t>
      </w:r>
    </w:p>
    <w:p w14:paraId="405262E7" w14:textId="77777777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b/>
          <w:bCs/>
          <w:sz w:val="24"/>
          <w:szCs w:val="24"/>
          <w:lang w:eastAsia="ru-RU"/>
        </w:rPr>
        <w:t>Результаты</w:t>
      </w:r>
    </w:p>
    <w:p w14:paraId="78600E0B" w14:textId="72E31188" w:rsidR="00E40540" w:rsidRPr="00E40540" w:rsidRDefault="00E40540" w:rsidP="00CC7477">
      <w:pPr>
        <w:spacing w:before="20" w:after="100" w:afterAutospacing="1"/>
        <w:ind w:firstLine="426"/>
        <w:rPr>
          <w:rFonts w:eastAsia="Times New Roman"/>
          <w:sz w:val="24"/>
          <w:szCs w:val="24"/>
          <w:lang w:eastAsia="ru-RU"/>
        </w:rPr>
      </w:pPr>
      <w:r w:rsidRPr="00E40540">
        <w:rPr>
          <w:rFonts w:eastAsia="Times New Roman"/>
          <w:sz w:val="24"/>
          <w:szCs w:val="24"/>
          <w:lang w:eastAsia="ru-RU"/>
        </w:rPr>
        <w:t xml:space="preserve">Установлена связь между задачей кинематического управления в режиме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телеоперации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и целевой функцией имитационного обучения: </w:t>
      </w:r>
      <w:proofErr w:type="spellStart"/>
      <w:r w:rsidRPr="00E40540">
        <w:rPr>
          <w:rFonts w:eastAsia="Times New Roman"/>
          <w:sz w:val="24"/>
          <w:szCs w:val="24"/>
          <w:lang w:eastAsia="ru-RU"/>
        </w:rPr>
        <w:t>телеоперация</w:t>
      </w:r>
      <w:proofErr w:type="spellEnd"/>
      <w:r w:rsidRPr="00E40540">
        <w:rPr>
          <w:rFonts w:eastAsia="Times New Roman"/>
          <w:sz w:val="24"/>
          <w:szCs w:val="24"/>
          <w:lang w:eastAsia="ru-RU"/>
        </w:rPr>
        <w:t xml:space="preserve"> генерирует выборку </w:t>
      </w:r>
      <m:oMath>
        <m:r>
          <m:rPr>
            <m:scr m:val="script"/>
          </m:rPr>
          <w:rPr>
            <w:rFonts w:ascii="Cambria Math" w:eastAsia="Times New Roman" w:hAnsi="Cambria Math"/>
            <w:sz w:val="24"/>
            <w:szCs w:val="24"/>
            <w:lang w:eastAsia="ru-RU"/>
          </w:rPr>
          <m:t>D,</m:t>
        </m:r>
      </m:oMath>
      <w:r w:rsidRPr="00E40540">
        <w:rPr>
          <w:rFonts w:eastAsia="Times New Roman"/>
          <w:sz w:val="24"/>
          <w:szCs w:val="24"/>
          <w:lang w:eastAsia="ru-RU"/>
        </w:rPr>
        <w:t xml:space="preserve">необходимую для оптимизации параметров политики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π</m:t>
            </m:r>
            <m:ctrl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</m:ctrlP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θ</m:t>
            </m:r>
          </m:sub>
        </m:sSub>
      </m:oMath>
      <w:r w:rsidRPr="00E40540">
        <w:rPr>
          <w:rFonts w:eastAsia="Times New Roman"/>
          <w:sz w:val="24"/>
          <w:szCs w:val="24"/>
          <w:lang w:eastAsia="ru-RU"/>
        </w:rPr>
        <w:t>. Определены физические ограничения системы и математическая постановка задачи управления.</w:t>
      </w:r>
    </w:p>
    <w:p w14:paraId="5606397D" w14:textId="77777777" w:rsidR="006F5C09" w:rsidRPr="00E40540" w:rsidRDefault="006F5C09" w:rsidP="00CC7477">
      <w:pPr>
        <w:spacing w:before="20"/>
        <w:ind w:firstLine="426"/>
        <w:rPr>
          <w:rStyle w:val="af9"/>
          <w:b w:val="0"/>
          <w:bCs w:val="0"/>
        </w:rPr>
      </w:pPr>
      <w:bookmarkStart w:id="0" w:name="_GoBack"/>
      <w:bookmarkEnd w:id="0"/>
    </w:p>
    <w:sectPr w:rsidR="006F5C09" w:rsidRPr="00E40540" w:rsidSect="00CC7477">
      <w:pgSz w:w="11906" w:h="16838" w:code="9"/>
      <w:pgMar w:top="1134" w:right="1361" w:bottom="1259" w:left="1361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78"/>
    <w:multiLevelType w:val="multilevel"/>
    <w:tmpl w:val="85A2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D18B5"/>
    <w:multiLevelType w:val="multilevel"/>
    <w:tmpl w:val="388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6DE0"/>
    <w:multiLevelType w:val="multilevel"/>
    <w:tmpl w:val="0B3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773C5"/>
    <w:multiLevelType w:val="multilevel"/>
    <w:tmpl w:val="34E8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502B3"/>
    <w:multiLevelType w:val="multilevel"/>
    <w:tmpl w:val="9C5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92D5D"/>
    <w:multiLevelType w:val="hybridMultilevel"/>
    <w:tmpl w:val="EB8AAC6A"/>
    <w:lvl w:ilvl="0" w:tplc="64F68E2A">
      <w:start w:val="1"/>
      <w:numFmt w:val="bullet"/>
      <w:pStyle w:val="-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77E1600"/>
    <w:multiLevelType w:val="multilevel"/>
    <w:tmpl w:val="8774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74258"/>
    <w:multiLevelType w:val="multilevel"/>
    <w:tmpl w:val="DE52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1019E"/>
    <w:multiLevelType w:val="multilevel"/>
    <w:tmpl w:val="6B06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901C1"/>
    <w:multiLevelType w:val="multilevel"/>
    <w:tmpl w:val="D9EC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06D55"/>
    <w:multiLevelType w:val="multilevel"/>
    <w:tmpl w:val="551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17C39"/>
    <w:multiLevelType w:val="multilevel"/>
    <w:tmpl w:val="C17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400EB"/>
    <w:multiLevelType w:val="multilevel"/>
    <w:tmpl w:val="C50A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77AA5"/>
    <w:multiLevelType w:val="hybridMultilevel"/>
    <w:tmpl w:val="FB9C5CD4"/>
    <w:lvl w:ilvl="0" w:tplc="B7BAF4D4">
      <w:start w:val="1"/>
      <w:numFmt w:val="decimal"/>
      <w:pStyle w:val="a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0551D4"/>
    <w:rsid w:val="004358F9"/>
    <w:rsid w:val="004A5F1C"/>
    <w:rsid w:val="00597DC2"/>
    <w:rsid w:val="006A4BCA"/>
    <w:rsid w:val="006E574B"/>
    <w:rsid w:val="006F5C09"/>
    <w:rsid w:val="007A4002"/>
    <w:rsid w:val="00824091"/>
    <w:rsid w:val="008733EF"/>
    <w:rsid w:val="008D0E14"/>
    <w:rsid w:val="008E5067"/>
    <w:rsid w:val="00B01A61"/>
    <w:rsid w:val="00B21A8E"/>
    <w:rsid w:val="00C22630"/>
    <w:rsid w:val="00C6047F"/>
    <w:rsid w:val="00CC7477"/>
    <w:rsid w:val="00D414BE"/>
    <w:rsid w:val="00D43E47"/>
    <w:rsid w:val="00E40540"/>
    <w:rsid w:val="00E77A53"/>
    <w:rsid w:val="00EE20AA"/>
    <w:rsid w:val="00F04EAA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5840C"/>
  <w15:chartTrackingRefBased/>
  <w15:docId w15:val="{30B348FE-32BB-4157-BFB7-D655A727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43E47"/>
    <w:pPr>
      <w:spacing w:after="0" w:line="240" w:lineRule="auto"/>
      <w:ind w:firstLine="397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rsid w:val="004A5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41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A5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igurecaption">
    <w:name w:val="figurecaption"/>
    <w:basedOn w:val="a0"/>
    <w:next w:val="a0"/>
    <w:rsid w:val="004A5F1C"/>
    <w:pPr>
      <w:keepLines/>
      <w:overflowPunct w:val="0"/>
      <w:autoSpaceDE w:val="0"/>
      <w:autoSpaceDN w:val="0"/>
      <w:adjustRightInd w:val="0"/>
      <w:spacing w:before="120" w:after="240" w:line="220" w:lineRule="atLeast"/>
      <w:ind w:firstLine="0"/>
      <w:jc w:val="center"/>
      <w:textAlignment w:val="baseline"/>
    </w:pPr>
    <w:rPr>
      <w:rFonts w:eastAsia="Times New Roman"/>
      <w:sz w:val="18"/>
      <w:lang w:val="en-US"/>
    </w:rPr>
  </w:style>
  <w:style w:type="paragraph" w:customStyle="1" w:styleId="p1a">
    <w:name w:val="p1a"/>
    <w:basedOn w:val="a0"/>
    <w:next w:val="a0"/>
    <w:rsid w:val="004A5F1C"/>
    <w:pPr>
      <w:overflowPunct w:val="0"/>
      <w:autoSpaceDE w:val="0"/>
      <w:autoSpaceDN w:val="0"/>
      <w:adjustRightInd w:val="0"/>
      <w:spacing w:line="240" w:lineRule="atLeast"/>
      <w:ind w:firstLine="0"/>
      <w:textAlignment w:val="baseline"/>
    </w:pPr>
    <w:rPr>
      <w:rFonts w:eastAsia="Times New Roman"/>
      <w:lang w:val="en-US"/>
    </w:rPr>
  </w:style>
  <w:style w:type="paragraph" w:styleId="a4">
    <w:name w:val="List Paragraph"/>
    <w:basedOn w:val="a0"/>
    <w:uiPriority w:val="34"/>
    <w:qFormat/>
    <w:rsid w:val="004A5F1C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a5">
    <w:name w:val="Автор"/>
    <w:basedOn w:val="a0"/>
    <w:link w:val="a6"/>
    <w:qFormat/>
    <w:rsid w:val="004A5F1C"/>
    <w:pPr>
      <w:ind w:firstLine="0"/>
      <w:jc w:val="right"/>
    </w:pPr>
  </w:style>
  <w:style w:type="character" w:customStyle="1" w:styleId="a6">
    <w:name w:val="Автор Знак"/>
    <w:basedOn w:val="a1"/>
    <w:link w:val="a5"/>
    <w:rsid w:val="004A5F1C"/>
    <w:rPr>
      <w:rFonts w:ascii="Times New Roman" w:hAnsi="Times New Roman" w:cs="Times New Roman"/>
      <w:sz w:val="20"/>
      <w:szCs w:val="20"/>
    </w:rPr>
  </w:style>
  <w:style w:type="paragraph" w:customStyle="1" w:styleId="a7">
    <w:name w:val="Аннотация"/>
    <w:basedOn w:val="a0"/>
    <w:link w:val="a8"/>
    <w:qFormat/>
    <w:rsid w:val="004A5F1C"/>
    <w:pPr>
      <w:ind w:firstLine="0"/>
    </w:pPr>
    <w:rPr>
      <w:i/>
      <w:sz w:val="18"/>
      <w:szCs w:val="18"/>
      <w:lang w:eastAsia="ru-RU"/>
    </w:rPr>
  </w:style>
  <w:style w:type="character" w:customStyle="1" w:styleId="a8">
    <w:name w:val="Аннотация Знак"/>
    <w:basedOn w:val="a1"/>
    <w:link w:val="a7"/>
    <w:rsid w:val="004A5F1C"/>
    <w:rPr>
      <w:rFonts w:ascii="Times New Roman" w:hAnsi="Times New Roman" w:cs="Times New Roman"/>
      <w:i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5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">
    <w:name w:val="Литература"/>
    <w:basedOn w:val="a0"/>
    <w:link w:val="a9"/>
    <w:qFormat/>
    <w:rsid w:val="004A5F1C"/>
    <w:pPr>
      <w:numPr>
        <w:numId w:val="1"/>
      </w:numPr>
      <w:contextualSpacing/>
    </w:pPr>
    <w:rPr>
      <w:sz w:val="18"/>
    </w:rPr>
  </w:style>
  <w:style w:type="character" w:customStyle="1" w:styleId="a9">
    <w:name w:val="Литература Знак"/>
    <w:basedOn w:val="a1"/>
    <w:link w:val="a"/>
    <w:rsid w:val="004A5F1C"/>
    <w:rPr>
      <w:rFonts w:ascii="Times New Roman" w:hAnsi="Times New Roman" w:cs="Times New Roman"/>
      <w:sz w:val="18"/>
      <w:szCs w:val="20"/>
    </w:rPr>
  </w:style>
  <w:style w:type="paragraph" w:customStyle="1" w:styleId="aa">
    <w:name w:val="Название"/>
    <w:basedOn w:val="a0"/>
    <w:link w:val="ab"/>
    <w:qFormat/>
    <w:rsid w:val="004A5F1C"/>
    <w:pPr>
      <w:keepNext/>
      <w:keepLines/>
      <w:ind w:firstLine="0"/>
      <w:jc w:val="center"/>
    </w:pPr>
    <w:rPr>
      <w:rFonts w:eastAsiaTheme="majorEastAsia"/>
      <w:b/>
      <w:bCs/>
      <w:caps/>
      <w:lang w:eastAsia="ru-RU"/>
    </w:rPr>
  </w:style>
  <w:style w:type="character" w:customStyle="1" w:styleId="ab">
    <w:name w:val="Название Знак"/>
    <w:basedOn w:val="a1"/>
    <w:link w:val="aa"/>
    <w:rsid w:val="004A5F1C"/>
    <w:rPr>
      <w:rFonts w:ascii="Times New Roman" w:eastAsiaTheme="majorEastAsia" w:hAnsi="Times New Roman" w:cs="Times New Roman"/>
      <w:b/>
      <w:bCs/>
      <w:caps/>
      <w:sz w:val="20"/>
      <w:szCs w:val="20"/>
      <w:lang w:eastAsia="ru-RU"/>
    </w:rPr>
  </w:style>
  <w:style w:type="paragraph" w:customStyle="1" w:styleId="ac">
    <w:name w:val="Рисунок"/>
    <w:basedOn w:val="a0"/>
    <w:link w:val="ad"/>
    <w:qFormat/>
    <w:rsid w:val="004A5F1C"/>
    <w:pPr>
      <w:ind w:firstLine="0"/>
      <w:jc w:val="center"/>
    </w:pPr>
    <w:rPr>
      <w:noProof/>
      <w:lang w:eastAsia="ru-RU"/>
    </w:rPr>
  </w:style>
  <w:style w:type="character" w:customStyle="1" w:styleId="ad">
    <w:name w:val="Рисунок Знак"/>
    <w:basedOn w:val="a1"/>
    <w:link w:val="ac"/>
    <w:rsid w:val="004A5F1C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-">
    <w:name w:val="Список-"/>
    <w:basedOn w:val="a0"/>
    <w:link w:val="-0"/>
    <w:qFormat/>
    <w:rsid w:val="004A5F1C"/>
    <w:pPr>
      <w:numPr>
        <w:numId w:val="2"/>
      </w:numPr>
    </w:pPr>
  </w:style>
  <w:style w:type="character" w:customStyle="1" w:styleId="-0">
    <w:name w:val="Список- Знак"/>
    <w:basedOn w:val="a1"/>
    <w:link w:val="-"/>
    <w:rsid w:val="004A5F1C"/>
    <w:rPr>
      <w:rFonts w:ascii="Times New Roman" w:hAnsi="Times New Roman" w:cs="Times New Roman"/>
      <w:sz w:val="20"/>
      <w:szCs w:val="20"/>
    </w:rPr>
  </w:style>
  <w:style w:type="paragraph" w:customStyle="1" w:styleId="ae">
    <w:name w:val="СписокЛитературы"/>
    <w:basedOn w:val="a0"/>
    <w:link w:val="af"/>
    <w:qFormat/>
    <w:rsid w:val="004A5F1C"/>
    <w:pPr>
      <w:spacing w:before="240" w:after="240"/>
      <w:ind w:firstLine="0"/>
      <w:jc w:val="center"/>
    </w:pPr>
    <w:rPr>
      <w:b/>
      <w:sz w:val="18"/>
    </w:rPr>
  </w:style>
  <w:style w:type="character" w:customStyle="1" w:styleId="af">
    <w:name w:val="СписокЛитературы Знак"/>
    <w:basedOn w:val="a1"/>
    <w:link w:val="ae"/>
    <w:rsid w:val="004A5F1C"/>
    <w:rPr>
      <w:rFonts w:ascii="Times New Roman" w:hAnsi="Times New Roman" w:cs="Times New Roman"/>
      <w:b/>
      <w:sz w:val="18"/>
      <w:szCs w:val="20"/>
    </w:rPr>
  </w:style>
  <w:style w:type="paragraph" w:customStyle="1" w:styleId="af0">
    <w:name w:val="ТаблНазвание"/>
    <w:basedOn w:val="a0"/>
    <w:link w:val="af1"/>
    <w:qFormat/>
    <w:rsid w:val="004A5F1C"/>
    <w:pPr>
      <w:keepNext/>
      <w:jc w:val="right"/>
    </w:pPr>
  </w:style>
  <w:style w:type="character" w:customStyle="1" w:styleId="af1">
    <w:name w:val="ТаблНазвание Знак"/>
    <w:basedOn w:val="a1"/>
    <w:link w:val="af0"/>
    <w:rsid w:val="004A5F1C"/>
    <w:rPr>
      <w:rFonts w:ascii="Times New Roman" w:hAnsi="Times New Roman" w:cs="Times New Roman"/>
      <w:sz w:val="20"/>
      <w:szCs w:val="20"/>
    </w:rPr>
  </w:style>
  <w:style w:type="paragraph" w:customStyle="1" w:styleId="af2">
    <w:name w:val="ТаблСодержание"/>
    <w:basedOn w:val="a0"/>
    <w:link w:val="af3"/>
    <w:qFormat/>
    <w:rsid w:val="004A5F1C"/>
    <w:pPr>
      <w:ind w:firstLine="0"/>
    </w:pPr>
    <w:rPr>
      <w:bCs/>
      <w:sz w:val="18"/>
    </w:rPr>
  </w:style>
  <w:style w:type="character" w:customStyle="1" w:styleId="af3">
    <w:name w:val="ТаблСодержание Знак"/>
    <w:basedOn w:val="a1"/>
    <w:link w:val="af2"/>
    <w:rsid w:val="004A5F1C"/>
    <w:rPr>
      <w:rFonts w:ascii="Times New Roman" w:hAnsi="Times New Roman" w:cs="Times New Roman"/>
      <w:bCs/>
      <w:sz w:val="18"/>
      <w:szCs w:val="20"/>
    </w:rPr>
  </w:style>
  <w:style w:type="paragraph" w:customStyle="1" w:styleId="af4">
    <w:name w:val="ТаблШапка"/>
    <w:basedOn w:val="a0"/>
    <w:link w:val="af5"/>
    <w:qFormat/>
    <w:rsid w:val="004A5F1C"/>
    <w:pPr>
      <w:ind w:firstLine="0"/>
      <w:jc w:val="center"/>
    </w:pPr>
    <w:rPr>
      <w:b/>
      <w:bCs/>
      <w:sz w:val="18"/>
    </w:rPr>
  </w:style>
  <w:style w:type="character" w:customStyle="1" w:styleId="af5">
    <w:name w:val="ТаблШапка Знак"/>
    <w:basedOn w:val="a1"/>
    <w:link w:val="af4"/>
    <w:rsid w:val="004A5F1C"/>
    <w:rPr>
      <w:rFonts w:ascii="Times New Roman" w:hAnsi="Times New Roman" w:cs="Times New Roman"/>
      <w:b/>
      <w:bCs/>
      <w:sz w:val="18"/>
      <w:szCs w:val="20"/>
    </w:rPr>
  </w:style>
  <w:style w:type="paragraph" w:customStyle="1" w:styleId="af6">
    <w:name w:val="УДК"/>
    <w:basedOn w:val="a0"/>
    <w:link w:val="af7"/>
    <w:qFormat/>
    <w:rsid w:val="004A5F1C"/>
    <w:pPr>
      <w:ind w:firstLine="0"/>
    </w:pPr>
    <w:rPr>
      <w:b/>
    </w:rPr>
  </w:style>
  <w:style w:type="character" w:customStyle="1" w:styleId="af7">
    <w:name w:val="УДК Знак"/>
    <w:basedOn w:val="a1"/>
    <w:link w:val="af6"/>
    <w:rsid w:val="004A5F1C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D414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8">
    <w:name w:val="Normal (Web)"/>
    <w:basedOn w:val="a0"/>
    <w:uiPriority w:val="99"/>
    <w:semiHidden/>
    <w:unhideWhenUsed/>
    <w:rsid w:val="00D414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9">
    <w:name w:val="Strong"/>
    <w:basedOn w:val="a1"/>
    <w:uiPriority w:val="22"/>
    <w:qFormat/>
    <w:rsid w:val="00D414BE"/>
    <w:rPr>
      <w:b/>
      <w:bCs/>
    </w:rPr>
  </w:style>
  <w:style w:type="character" w:styleId="afa">
    <w:name w:val="Emphasis"/>
    <w:basedOn w:val="a1"/>
    <w:uiPriority w:val="20"/>
    <w:qFormat/>
    <w:rsid w:val="00D414BE"/>
    <w:rPr>
      <w:i/>
      <w:iCs/>
    </w:rPr>
  </w:style>
  <w:style w:type="character" w:customStyle="1" w:styleId="math">
    <w:name w:val="math"/>
    <w:basedOn w:val="a1"/>
    <w:rsid w:val="00D414BE"/>
  </w:style>
  <w:style w:type="character" w:styleId="afb">
    <w:name w:val="Placeholder Text"/>
    <w:basedOn w:val="a1"/>
    <w:uiPriority w:val="99"/>
    <w:semiHidden/>
    <w:rsid w:val="00D414BE"/>
    <w:rPr>
      <w:color w:val="808080"/>
    </w:rPr>
  </w:style>
  <w:style w:type="character" w:customStyle="1" w:styleId="qwen-markdown-text">
    <w:name w:val="qwen-markdown-text"/>
    <w:basedOn w:val="a1"/>
    <w:rsid w:val="007A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FB4C-005B-4A98-8DDC-35C34818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Игоревич</dc:creator>
  <cp:keywords/>
  <dc:description/>
  <cp:lastModifiedBy>Олег Игоревич</cp:lastModifiedBy>
  <cp:revision>2</cp:revision>
  <cp:lastPrinted>2026-03-01T18:40:00Z</cp:lastPrinted>
  <dcterms:created xsi:type="dcterms:W3CDTF">2026-03-01T19:19:00Z</dcterms:created>
  <dcterms:modified xsi:type="dcterms:W3CDTF">2026-03-01T19:19:00Z</dcterms:modified>
</cp:coreProperties>
</file>