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62F" w:rsidRPr="00D9462F" w:rsidRDefault="00D9462F" w:rsidP="00D9462F">
      <w:pPr>
        <w:spacing w:after="0" w:line="240" w:lineRule="auto"/>
        <w:rPr>
          <w:rFonts w:ascii="Times New Roman" w:eastAsia="Times New Roman" w:hAnsi="Times New Roman" w:cs="Times New Roman"/>
          <w:color w:val="000000" w:themeColor="text1"/>
          <w:kern w:val="0"/>
          <w:lang w:val="en-US" w:eastAsia="ru-RU"/>
          <w14:ligatures w14:val="none"/>
        </w:rPr>
      </w:pP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Понятие гражданско-правового механизма защиты прав при дарении и завещании</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Назина Арина Дмитриевна</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Студент</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Барыбина Екатерина Львовн</w:t>
      </w:r>
      <w:r w:rsidR="008D3E30">
        <w:rPr>
          <w:rFonts w:ascii="Times New Roman" w:eastAsia="Times New Roman" w:hAnsi="Times New Roman" w:cs="Times New Roman"/>
          <w:color w:val="000000" w:themeColor="text1"/>
          <w:kern w:val="0"/>
          <w:lang w:eastAsia="ru-RU"/>
          <w14:ligatures w14:val="none"/>
        </w:rPr>
        <w:t>а</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Научный руководитель доцент,</w:t>
      </w:r>
      <w:r>
        <w:rPr>
          <w:rFonts w:ascii="Times New Roman" w:eastAsia="Times New Roman" w:hAnsi="Times New Roman" w:cs="Times New Roman"/>
          <w:color w:val="000000" w:themeColor="text1"/>
          <w:kern w:val="0"/>
          <w:lang w:eastAsia="ru-RU"/>
          <w14:ligatures w14:val="none"/>
        </w:rPr>
        <w:t xml:space="preserve"> </w:t>
      </w:r>
      <w:proofErr w:type="spellStart"/>
      <w:r w:rsidRPr="00D9462F">
        <w:rPr>
          <w:rFonts w:ascii="Times New Roman" w:eastAsia="Times New Roman" w:hAnsi="Times New Roman" w:cs="Times New Roman"/>
          <w:color w:val="000000" w:themeColor="text1"/>
          <w:kern w:val="0"/>
          <w:lang w:eastAsia="ru-RU"/>
          <w14:ligatures w14:val="none"/>
        </w:rPr>
        <w:t>к.ю.н</w:t>
      </w:r>
      <w:proofErr w:type="spellEnd"/>
      <w:r w:rsidRPr="00D9462F">
        <w:rPr>
          <w:rFonts w:ascii="Times New Roman" w:eastAsia="Times New Roman" w:hAnsi="Times New Roman" w:cs="Times New Roman"/>
          <w:color w:val="000000" w:themeColor="text1"/>
          <w:kern w:val="0"/>
          <w:lang w:eastAsia="ru-RU"/>
          <w14:ligatures w14:val="none"/>
        </w:rPr>
        <w:t>.</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Юридический факультет</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both"/>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Ключевые слова: дарение, завещание, гражданско-правовой механизм, защита прав, безвозмездная сделка, недействительность сделки.</w:t>
      </w: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both"/>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Гражданско-правовой механизм защиты прав при дарении и завещании представляет собой совокупность правовых средств, обеспечивающих сохранность интересов участников этих сделок, а также восстановление нарушенных прав в случае конфликта. Оба института опираются на безвозмездное распоряжение имуществом, но действуют в разных временных плоскостях: дарение - при жизни дарителя, завещание - на случай смерти наследодателя.</w:t>
      </w:r>
    </w:p>
    <w:p w:rsidR="00D9462F" w:rsidRPr="008D3E30" w:rsidRDefault="00D9462F" w:rsidP="00043107">
      <w:pPr>
        <w:spacing w:after="0" w:line="300" w:lineRule="auto"/>
        <w:jc w:val="both"/>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both"/>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Среди правомерных действий в гражданском праве выделяются юридические акты и поступки. Юридический акт - действие, направленное на возникновение, изменение или прекращение прав и обязанностей, наиболее распространённым видом которого является сделка. Исходя из юридической природы сделок, механизм защиты прав при дарении и завещании корреспондирует с обязательственными отношениями, поскольку передача имущества предполагает выраженное волеизъявление сторон.</w:t>
      </w:r>
    </w:p>
    <w:p w:rsidR="00D9462F" w:rsidRPr="00D9462F" w:rsidRDefault="00D9462F" w:rsidP="00043107">
      <w:pPr>
        <w:spacing w:after="0" w:line="300" w:lineRule="auto"/>
        <w:jc w:val="both"/>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both"/>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 xml:space="preserve">В соответствии со ст. 572 ГК РФ договор дарения предполагает безвозмездную передачу имущества, права либо освобождение от </w:t>
      </w:r>
      <w:proofErr w:type="gramStart"/>
      <w:r w:rsidRPr="00D9462F">
        <w:rPr>
          <w:rFonts w:ascii="Times New Roman" w:eastAsia="Times New Roman" w:hAnsi="Times New Roman" w:cs="Times New Roman"/>
          <w:color w:val="000000" w:themeColor="text1"/>
          <w:kern w:val="0"/>
          <w:lang w:eastAsia="ru-RU"/>
          <w14:ligatures w14:val="none"/>
        </w:rPr>
        <w:t>обязанности</w:t>
      </w:r>
      <w:r w:rsidR="00775C88" w:rsidRPr="00745136">
        <w:rPr>
          <w:rFonts w:ascii="Times New Roman" w:hAnsi="Times New Roman" w:cs="Times New Roman"/>
          <w:color w:val="000000"/>
        </w:rPr>
        <w:t>[</w:t>
      </w:r>
      <w:proofErr w:type="gramEnd"/>
      <w:r w:rsidR="00775C88" w:rsidRPr="00775C88">
        <w:rPr>
          <w:rFonts w:ascii="Times New Roman" w:hAnsi="Times New Roman" w:cs="Times New Roman"/>
          <w:color w:val="000000"/>
        </w:rPr>
        <w:t>1</w:t>
      </w:r>
      <w:r w:rsidR="00775C88" w:rsidRPr="00745136">
        <w:rPr>
          <w:rStyle w:val="default"/>
          <w:rFonts w:ascii="Times New Roman" w:hAnsi="Times New Roman" w:cs="Times New Roman"/>
          <w:color w:val="000000"/>
        </w:rPr>
        <w:t>]</w:t>
      </w:r>
      <w:r w:rsidRPr="00D9462F">
        <w:rPr>
          <w:rFonts w:ascii="Times New Roman" w:eastAsia="Times New Roman" w:hAnsi="Times New Roman" w:cs="Times New Roman"/>
          <w:color w:val="000000" w:themeColor="text1"/>
          <w:kern w:val="0"/>
          <w:lang w:eastAsia="ru-RU"/>
          <w14:ligatures w14:val="none"/>
        </w:rPr>
        <w:t>. При наличии встречного предоставления договор утрачивает признаки дарения, что имеет значение для применения защитных механизмов. Классический подход выделяет следующие ключевые признаки дарения: безвозмездность; увеличение имущества одаряемого за счёт дарителя; намерение дарителя одарить; согласие одаряемого</w:t>
      </w:r>
      <w:r w:rsidR="00F55154" w:rsidRPr="00F55154">
        <w:rPr>
          <w:rFonts w:ascii="Times New Roman" w:eastAsia="Times New Roman" w:hAnsi="Times New Roman" w:cs="Times New Roman"/>
          <w:color w:val="000000" w:themeColor="text1"/>
          <w:kern w:val="0"/>
          <w:lang w:eastAsia="ru-RU"/>
          <w14:ligatures w14:val="none"/>
        </w:rPr>
        <w:t xml:space="preserve"> </w:t>
      </w:r>
      <w:r w:rsidR="00775C88" w:rsidRPr="00745136">
        <w:rPr>
          <w:rFonts w:ascii="Times New Roman" w:hAnsi="Times New Roman" w:cs="Times New Roman"/>
          <w:color w:val="000000"/>
        </w:rPr>
        <w:t>[</w:t>
      </w:r>
      <w:r w:rsidR="00F55154" w:rsidRPr="00F55154">
        <w:rPr>
          <w:rFonts w:ascii="Times New Roman" w:hAnsi="Times New Roman" w:cs="Times New Roman"/>
          <w:color w:val="000000"/>
        </w:rPr>
        <w:t>3</w:t>
      </w:r>
      <w:r w:rsidR="00775C88" w:rsidRPr="00775C88">
        <w:rPr>
          <w:rFonts w:ascii="Times New Roman" w:hAnsi="Times New Roman" w:cs="Times New Roman"/>
          <w:color w:val="000000"/>
        </w:rPr>
        <w:t>,</w:t>
      </w:r>
      <w:r w:rsidR="00775C88" w:rsidRPr="00745136">
        <w:rPr>
          <w:rFonts w:ascii="Times New Roman" w:hAnsi="Times New Roman" w:cs="Times New Roman"/>
          <w:color w:val="000000"/>
        </w:rPr>
        <w:t>18</w:t>
      </w:r>
      <w:r w:rsidR="00775C88" w:rsidRPr="00745136">
        <w:rPr>
          <w:rStyle w:val="default"/>
          <w:rFonts w:ascii="Times New Roman" w:hAnsi="Times New Roman" w:cs="Times New Roman"/>
          <w:color w:val="000000"/>
        </w:rPr>
        <w:t>]</w:t>
      </w:r>
      <w:r w:rsidRPr="00D9462F">
        <w:rPr>
          <w:rFonts w:ascii="Times New Roman" w:eastAsia="Times New Roman" w:hAnsi="Times New Roman" w:cs="Times New Roman"/>
          <w:color w:val="000000" w:themeColor="text1"/>
          <w:kern w:val="0"/>
          <w:lang w:eastAsia="ru-RU"/>
          <w14:ligatures w14:val="none"/>
        </w:rPr>
        <w:t>. Безвозмездность является главной особенностью: при встречной передаче договор может быть признан притворным (ст. 423 ГК РФ). Увеличение имущества одаряемого позволяет отделить дарение от иных безвозмездных сделок. Намерение дарителя и согласие одаряемого определяют квалификацию сделки: отсутствие согласия делает договор незаключённым.</w:t>
      </w:r>
    </w:p>
    <w:p w:rsidR="00D9462F" w:rsidRPr="00D9462F" w:rsidRDefault="00D9462F" w:rsidP="00043107">
      <w:pPr>
        <w:spacing w:after="0" w:line="300" w:lineRule="auto"/>
        <w:jc w:val="both"/>
        <w:rPr>
          <w:rFonts w:ascii="Times New Roman" w:eastAsia="Times New Roman" w:hAnsi="Times New Roman" w:cs="Times New Roman"/>
          <w:color w:val="000000" w:themeColor="text1"/>
          <w:kern w:val="0"/>
          <w:lang w:eastAsia="ru-RU"/>
          <w14:ligatures w14:val="none"/>
        </w:rPr>
      </w:pPr>
    </w:p>
    <w:p w:rsidR="00D9462F" w:rsidRPr="00745136" w:rsidRDefault="00D9462F" w:rsidP="00745136">
      <w:pPr>
        <w:pStyle w:val="HTML"/>
        <w:jc w:val="both"/>
        <w:rPr>
          <w:rFonts w:ascii="Times New Roman" w:hAnsi="Times New Roman" w:cs="Times New Roman"/>
          <w:color w:val="000000"/>
          <w:sz w:val="24"/>
          <w:szCs w:val="24"/>
        </w:rPr>
      </w:pPr>
      <w:r w:rsidRPr="00745136">
        <w:rPr>
          <w:rFonts w:ascii="Times New Roman" w:hAnsi="Times New Roman" w:cs="Times New Roman"/>
          <w:color w:val="000000" w:themeColor="text1"/>
          <w:sz w:val="24"/>
          <w:szCs w:val="24"/>
        </w:rPr>
        <w:t>Завещание, в отличие от дарения, представляет собой одностороннюю сделку, направленную на установление судьбы имущества после открытия наследства. Оно распространяет действие только после смерти завещателя. А.С. Старченко указывает, что завещание одновременно выступает актом распоряжения и уникальной сделкой, поскольку завещатель действует в собственных интересах, не согласовывая содержание с наследниками</w:t>
      </w:r>
      <w:r w:rsidR="00745136" w:rsidRPr="00745136">
        <w:rPr>
          <w:rStyle w:val="30"/>
          <w:rFonts w:ascii="Times New Roman" w:hAnsi="Times New Roman" w:cs="Times New Roman"/>
          <w:color w:val="000000"/>
          <w:sz w:val="24"/>
          <w:szCs w:val="24"/>
        </w:rPr>
        <w:t xml:space="preserve"> </w:t>
      </w:r>
      <w:r w:rsidR="00745136" w:rsidRPr="00745136">
        <w:rPr>
          <w:rFonts w:ascii="Times New Roman" w:hAnsi="Times New Roman" w:cs="Times New Roman"/>
          <w:color w:val="000000"/>
          <w:sz w:val="24"/>
          <w:szCs w:val="24"/>
        </w:rPr>
        <w:t>[</w:t>
      </w:r>
      <w:r w:rsidR="00F55154" w:rsidRPr="00F55154">
        <w:rPr>
          <w:rFonts w:ascii="Times New Roman" w:hAnsi="Times New Roman" w:cs="Times New Roman"/>
          <w:color w:val="000000"/>
          <w:sz w:val="24"/>
          <w:szCs w:val="24"/>
        </w:rPr>
        <w:t>4</w:t>
      </w:r>
      <w:r w:rsidR="00745136" w:rsidRPr="00745136">
        <w:rPr>
          <w:rFonts w:ascii="Times New Roman" w:hAnsi="Times New Roman" w:cs="Times New Roman"/>
          <w:color w:val="000000"/>
          <w:sz w:val="24"/>
          <w:szCs w:val="24"/>
        </w:rPr>
        <w:t>,181</w:t>
      </w:r>
      <w:r w:rsidR="00745136" w:rsidRPr="00745136">
        <w:rPr>
          <w:rStyle w:val="default"/>
          <w:rFonts w:ascii="Times New Roman" w:hAnsi="Times New Roman" w:cs="Times New Roman"/>
          <w:color w:val="000000"/>
          <w:sz w:val="24"/>
          <w:szCs w:val="24"/>
        </w:rPr>
        <w:t>]</w:t>
      </w:r>
      <w:r w:rsidRPr="00745136">
        <w:rPr>
          <w:rFonts w:ascii="Times New Roman" w:hAnsi="Times New Roman" w:cs="Times New Roman"/>
          <w:color w:val="000000" w:themeColor="text1"/>
          <w:sz w:val="24"/>
          <w:szCs w:val="24"/>
        </w:rPr>
        <w:t xml:space="preserve">. Защита включает требования к форме, порядку удостоверения, недопустимость давления и особый порядок оспаривания. Поскольку завещание вступает в силу после смерти, механизм защиты наследодателя переносится в </w:t>
      </w:r>
      <w:proofErr w:type="spellStart"/>
      <w:r w:rsidRPr="00745136">
        <w:rPr>
          <w:rFonts w:ascii="Times New Roman" w:hAnsi="Times New Roman" w:cs="Times New Roman"/>
          <w:color w:val="000000" w:themeColor="text1"/>
          <w:sz w:val="24"/>
          <w:szCs w:val="24"/>
        </w:rPr>
        <w:t>постсмертную</w:t>
      </w:r>
      <w:proofErr w:type="spellEnd"/>
      <w:r w:rsidRPr="00745136">
        <w:rPr>
          <w:rFonts w:ascii="Times New Roman" w:hAnsi="Times New Roman" w:cs="Times New Roman"/>
          <w:color w:val="000000" w:themeColor="text1"/>
          <w:sz w:val="24"/>
          <w:szCs w:val="24"/>
        </w:rPr>
        <w:t xml:space="preserve"> плоскость и осуществляется через суд и нотариальные процедуры.</w:t>
      </w:r>
    </w:p>
    <w:p w:rsidR="00D9462F" w:rsidRPr="00745136" w:rsidRDefault="00D9462F" w:rsidP="00043107">
      <w:pPr>
        <w:spacing w:after="0" w:line="300" w:lineRule="auto"/>
        <w:jc w:val="both"/>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both"/>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 xml:space="preserve">Несмотря на различия, механизмы защиты при дарении и завещании имеют общие черты. В обоих случаях защита строится на балансе интересов сторон: закон охраняет свободу распоряжения имуществом, но не допускает </w:t>
      </w:r>
      <w:proofErr w:type="gramStart"/>
      <w:r w:rsidRPr="00D9462F">
        <w:rPr>
          <w:rFonts w:ascii="Times New Roman" w:eastAsia="Times New Roman" w:hAnsi="Times New Roman" w:cs="Times New Roman"/>
          <w:color w:val="000000" w:themeColor="text1"/>
          <w:kern w:val="0"/>
          <w:lang w:eastAsia="ru-RU"/>
          <w14:ligatures w14:val="none"/>
        </w:rPr>
        <w:t>злоупотреблений</w:t>
      </w:r>
      <w:r w:rsidR="00F55154" w:rsidRPr="00745136">
        <w:rPr>
          <w:rFonts w:ascii="Times New Roman" w:hAnsi="Times New Roman" w:cs="Times New Roman"/>
          <w:color w:val="000000"/>
        </w:rPr>
        <w:t>[</w:t>
      </w:r>
      <w:proofErr w:type="gramEnd"/>
      <w:r w:rsidR="00F55154" w:rsidRPr="00F55154">
        <w:rPr>
          <w:rFonts w:ascii="Times New Roman" w:hAnsi="Times New Roman" w:cs="Times New Roman"/>
          <w:color w:val="000000"/>
        </w:rPr>
        <w:t>2</w:t>
      </w:r>
      <w:r w:rsidR="00F55154" w:rsidRPr="00745136">
        <w:rPr>
          <w:rFonts w:ascii="Times New Roman" w:hAnsi="Times New Roman" w:cs="Times New Roman"/>
          <w:color w:val="000000"/>
        </w:rPr>
        <w:t>,</w:t>
      </w:r>
      <w:r w:rsidR="00F55154" w:rsidRPr="00F55154">
        <w:rPr>
          <w:rFonts w:ascii="Times New Roman" w:hAnsi="Times New Roman" w:cs="Times New Roman"/>
          <w:color w:val="000000"/>
        </w:rPr>
        <w:t>66</w:t>
      </w:r>
      <w:r w:rsidR="00F55154" w:rsidRPr="00745136">
        <w:rPr>
          <w:rStyle w:val="default"/>
          <w:rFonts w:ascii="Times New Roman" w:hAnsi="Times New Roman" w:cs="Times New Roman"/>
          <w:color w:val="000000"/>
        </w:rPr>
        <w:t>]</w:t>
      </w:r>
      <w:r w:rsidRPr="00D9462F">
        <w:rPr>
          <w:rFonts w:ascii="Times New Roman" w:eastAsia="Times New Roman" w:hAnsi="Times New Roman" w:cs="Times New Roman"/>
          <w:color w:val="000000" w:themeColor="text1"/>
          <w:kern w:val="0"/>
          <w:lang w:eastAsia="ru-RU"/>
          <w14:ligatures w14:val="none"/>
        </w:rPr>
        <w:t xml:space="preserve">. Оба института содержат специальные основания признания недействительности (притворность дарения, нарушения формы завещания, недееспособность, давление). Механизм защиты выполняет не только охранительную, но и профилактическую функцию - </w:t>
      </w:r>
      <w:proofErr w:type="spellStart"/>
      <w:r w:rsidRPr="00D9462F">
        <w:rPr>
          <w:rFonts w:ascii="Times New Roman" w:eastAsia="Times New Roman" w:hAnsi="Times New Roman" w:cs="Times New Roman"/>
          <w:color w:val="000000" w:themeColor="text1"/>
          <w:kern w:val="0"/>
          <w:lang w:eastAsia="ru-RU"/>
          <w14:ligatures w14:val="none"/>
        </w:rPr>
        <w:t>ясые</w:t>
      </w:r>
      <w:proofErr w:type="spellEnd"/>
      <w:r w:rsidRPr="00D9462F">
        <w:rPr>
          <w:rFonts w:ascii="Times New Roman" w:eastAsia="Times New Roman" w:hAnsi="Times New Roman" w:cs="Times New Roman"/>
          <w:color w:val="000000" w:themeColor="text1"/>
          <w:kern w:val="0"/>
          <w:lang w:eastAsia="ru-RU"/>
          <w14:ligatures w14:val="none"/>
        </w:rPr>
        <w:t xml:space="preserve"> требования к форме и </w:t>
      </w:r>
      <w:r w:rsidRPr="00D9462F">
        <w:rPr>
          <w:rFonts w:ascii="Times New Roman" w:eastAsia="Times New Roman" w:hAnsi="Times New Roman" w:cs="Times New Roman"/>
          <w:color w:val="000000" w:themeColor="text1"/>
          <w:kern w:val="0"/>
          <w:lang w:eastAsia="ru-RU"/>
          <w14:ligatures w14:val="none"/>
        </w:rPr>
        <w:lastRenderedPageBreak/>
        <w:t>процедурам снижают число судебных споров. Оба института основаны на личном доверии и сильном субъективном элементе - волеизъявлении, что требует точного и взвешенного регулирования.</w:t>
      </w:r>
    </w:p>
    <w:p w:rsidR="00D9462F" w:rsidRPr="00D9462F" w:rsidRDefault="00D9462F" w:rsidP="00D9462F">
      <w:pPr>
        <w:spacing w:after="0" w:line="300" w:lineRule="auto"/>
        <w:jc w:val="both"/>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both"/>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 xml:space="preserve">Таким образом, гражданско-правовой механизм защиты прав при дарении и завещании </w:t>
      </w:r>
      <w:proofErr w:type="gramStart"/>
      <w:r w:rsidR="00775C88" w:rsidRPr="00775C88">
        <w:rPr>
          <w:rFonts w:ascii="Times New Roman" w:eastAsia="Times New Roman" w:hAnsi="Times New Roman" w:cs="Times New Roman"/>
          <w:color w:val="000000" w:themeColor="text1"/>
          <w:kern w:val="0"/>
          <w:lang w:eastAsia="ru-RU"/>
          <w14:ligatures w14:val="none"/>
        </w:rPr>
        <w:t>-</w:t>
      </w:r>
      <w:r w:rsidR="00775C88" w:rsidRPr="00D9462F">
        <w:rPr>
          <w:rFonts w:ascii="Times New Roman" w:eastAsia="Times New Roman" w:hAnsi="Times New Roman" w:cs="Times New Roman"/>
          <w:color w:val="000000" w:themeColor="text1"/>
          <w:kern w:val="0"/>
          <w:lang w:eastAsia="ru-RU"/>
          <w14:ligatures w14:val="none"/>
        </w:rPr>
        <w:t xml:space="preserve"> это</w:t>
      </w:r>
      <w:proofErr w:type="gramEnd"/>
      <w:r w:rsidRPr="00D9462F">
        <w:rPr>
          <w:rFonts w:ascii="Times New Roman" w:eastAsia="Times New Roman" w:hAnsi="Times New Roman" w:cs="Times New Roman"/>
          <w:color w:val="000000" w:themeColor="text1"/>
          <w:kern w:val="0"/>
          <w:lang w:eastAsia="ru-RU"/>
          <w14:ligatures w14:val="none"/>
        </w:rPr>
        <w:t xml:space="preserve"> система правовых норм, процедур и гарантий, направленных на обеспечение свободной реализации волеизъявления и предупреждение злоупотреблений. Он включает формальные требования (форма сделки, нотариальные процедуры) и материально-правовые </w:t>
      </w:r>
      <w:r w:rsidR="00775C88">
        <w:rPr>
          <w:rFonts w:ascii="Times New Roman" w:eastAsia="Times New Roman" w:hAnsi="Times New Roman" w:cs="Times New Roman"/>
          <w:color w:val="000000" w:themeColor="text1"/>
          <w:kern w:val="0"/>
          <w:lang w:val="en-US" w:eastAsia="ru-RU"/>
          <w14:ligatures w14:val="none"/>
        </w:rPr>
        <w:t>c</w:t>
      </w:r>
      <w:proofErr w:type="spellStart"/>
      <w:r w:rsidRPr="00D9462F">
        <w:rPr>
          <w:rFonts w:ascii="Times New Roman" w:eastAsia="Times New Roman" w:hAnsi="Times New Roman" w:cs="Times New Roman"/>
          <w:color w:val="000000" w:themeColor="text1"/>
          <w:kern w:val="0"/>
          <w:lang w:eastAsia="ru-RU"/>
          <w14:ligatures w14:val="none"/>
        </w:rPr>
        <w:t>редства</w:t>
      </w:r>
      <w:proofErr w:type="spellEnd"/>
      <w:r w:rsidRPr="00D9462F">
        <w:rPr>
          <w:rFonts w:ascii="Times New Roman" w:eastAsia="Times New Roman" w:hAnsi="Times New Roman" w:cs="Times New Roman"/>
          <w:color w:val="000000" w:themeColor="text1"/>
          <w:kern w:val="0"/>
          <w:lang w:eastAsia="ru-RU"/>
          <w14:ligatures w14:val="none"/>
        </w:rPr>
        <w:t xml:space="preserve"> (основания отмены, признание недействительности). Специфика механизмов определяется безвозмездностью, личным характером волеизъявления и связью с имущественными последствиями.</w:t>
      </w:r>
    </w:p>
    <w:p w:rsidR="00D9462F" w:rsidRPr="00D9462F" w:rsidRDefault="00D9462F" w:rsidP="00D9462F">
      <w:pPr>
        <w:spacing w:after="0" w:line="300" w:lineRule="auto"/>
        <w:jc w:val="both"/>
        <w:rPr>
          <w:rFonts w:ascii="Times New Roman" w:eastAsia="Times New Roman" w:hAnsi="Times New Roman" w:cs="Times New Roman"/>
          <w:color w:val="000000" w:themeColor="text1"/>
          <w:kern w:val="0"/>
          <w:lang w:eastAsia="ru-RU"/>
          <w14:ligatures w14:val="none"/>
        </w:rPr>
      </w:pPr>
    </w:p>
    <w:p w:rsidR="00D9462F" w:rsidRPr="00D9462F" w:rsidRDefault="00D9462F" w:rsidP="00D9462F">
      <w:pPr>
        <w:spacing w:after="0" w:line="240" w:lineRule="auto"/>
        <w:jc w:val="center"/>
        <w:rPr>
          <w:rFonts w:ascii="Times New Roman" w:eastAsia="Times New Roman" w:hAnsi="Times New Roman" w:cs="Times New Roman"/>
          <w:color w:val="000000" w:themeColor="text1"/>
          <w:kern w:val="0"/>
          <w:lang w:eastAsia="ru-RU"/>
          <w14:ligatures w14:val="none"/>
        </w:rPr>
      </w:pPr>
      <w:r w:rsidRPr="00D9462F">
        <w:rPr>
          <w:rFonts w:ascii="Times New Roman" w:eastAsia="Times New Roman" w:hAnsi="Times New Roman" w:cs="Times New Roman"/>
          <w:color w:val="000000" w:themeColor="text1"/>
          <w:kern w:val="0"/>
          <w:lang w:eastAsia="ru-RU"/>
          <w14:ligatures w14:val="none"/>
        </w:rPr>
        <w:t>Список литературы</w:t>
      </w:r>
    </w:p>
    <w:p w:rsidR="00D9462F" w:rsidRPr="00775C88" w:rsidRDefault="00D9462F" w:rsidP="00775C88">
      <w:pPr>
        <w:spacing w:after="0" w:line="240" w:lineRule="auto"/>
        <w:jc w:val="both"/>
        <w:rPr>
          <w:rFonts w:ascii="Times New Roman" w:eastAsia="Times New Roman" w:hAnsi="Times New Roman" w:cs="Times New Roman"/>
          <w:color w:val="000000" w:themeColor="text1"/>
          <w:kern w:val="0"/>
          <w:lang w:eastAsia="ru-RU"/>
          <w14:ligatures w14:val="none"/>
        </w:rPr>
      </w:pPr>
    </w:p>
    <w:p w:rsidR="00775C88" w:rsidRPr="00F55154" w:rsidRDefault="00775C88" w:rsidP="00775C88">
      <w:pPr>
        <w:pStyle w:val="a7"/>
        <w:numPr>
          <w:ilvl w:val="0"/>
          <w:numId w:val="2"/>
        </w:numPr>
        <w:spacing w:line="240" w:lineRule="auto"/>
        <w:ind w:left="284" w:hanging="284"/>
        <w:jc w:val="both"/>
        <w:rPr>
          <w:rFonts w:ascii="Times New Roman" w:hAnsi="Times New Roman" w:cs="Times New Roman"/>
        </w:rPr>
      </w:pPr>
      <w:r w:rsidRPr="00775C88">
        <w:rPr>
          <w:rFonts w:ascii="Times New Roman" w:hAnsi="Times New Roman" w:cs="Times New Roman"/>
        </w:rPr>
        <w:t>Гражданский кодекс Российской Федерации (часть третья) от 26.11.2001 N 146-ФЗ (ред. от 08.08.2024) // Собрание законодательства РФ. – 2001. -  N 49. - ст. 4552; Официальном интернет-портале правовой информации http://pravo.gov.ru - 08.08.2024</w:t>
      </w:r>
    </w:p>
    <w:p w:rsidR="00F55154" w:rsidRPr="00F55154" w:rsidRDefault="00F55154" w:rsidP="00F55154">
      <w:pPr>
        <w:pStyle w:val="a7"/>
        <w:widowControl w:val="0"/>
        <w:numPr>
          <w:ilvl w:val="0"/>
          <w:numId w:val="2"/>
        </w:numPr>
        <w:spacing w:after="0" w:line="240" w:lineRule="auto"/>
        <w:ind w:left="426" w:hanging="426"/>
        <w:jc w:val="both"/>
        <w:rPr>
          <w:rFonts w:ascii="Times New Roman" w:hAnsi="Times New Roman" w:cs="Times New Roman"/>
        </w:rPr>
      </w:pPr>
      <w:proofErr w:type="spellStart"/>
      <w:r w:rsidRPr="00F55154">
        <w:rPr>
          <w:rFonts w:ascii="Times New Roman" w:hAnsi="Times New Roman" w:cs="Times New Roman"/>
        </w:rPr>
        <w:t>Комышев</w:t>
      </w:r>
      <w:proofErr w:type="spellEnd"/>
      <w:r w:rsidRPr="00F55154">
        <w:rPr>
          <w:rFonts w:ascii="Times New Roman" w:hAnsi="Times New Roman" w:cs="Times New Roman"/>
        </w:rPr>
        <w:t xml:space="preserve">, М. В. К вопросу об обязательном нотариальном удостоверении договоров обещания дарения / М. В. </w:t>
      </w:r>
      <w:proofErr w:type="spellStart"/>
      <w:r w:rsidRPr="00F55154">
        <w:rPr>
          <w:rFonts w:ascii="Times New Roman" w:hAnsi="Times New Roman" w:cs="Times New Roman"/>
        </w:rPr>
        <w:t>Комышев</w:t>
      </w:r>
      <w:proofErr w:type="spellEnd"/>
      <w:r w:rsidRPr="00F55154">
        <w:rPr>
          <w:rFonts w:ascii="Times New Roman" w:hAnsi="Times New Roman" w:cs="Times New Roman"/>
        </w:rPr>
        <w:t xml:space="preserve"> // Вестник экономики и права. – 2021. – № 62. – С. 64–70.</w:t>
      </w:r>
    </w:p>
    <w:p w:rsidR="00775C88" w:rsidRPr="00775C88" w:rsidRDefault="00775C88" w:rsidP="00775C88">
      <w:pPr>
        <w:pStyle w:val="a7"/>
        <w:widowControl w:val="0"/>
        <w:numPr>
          <w:ilvl w:val="0"/>
          <w:numId w:val="2"/>
        </w:numPr>
        <w:spacing w:after="0" w:line="240" w:lineRule="auto"/>
        <w:ind w:left="426" w:hanging="426"/>
        <w:jc w:val="both"/>
        <w:rPr>
          <w:rFonts w:ascii="Times New Roman" w:hAnsi="Times New Roman" w:cs="Times New Roman"/>
        </w:rPr>
      </w:pPr>
      <w:r w:rsidRPr="00775C88">
        <w:rPr>
          <w:rFonts w:ascii="Times New Roman" w:hAnsi="Times New Roman" w:cs="Times New Roman"/>
        </w:rPr>
        <w:t>Лузина, А. И. Особенности договора дарения в Российской Федерации и проблемы правового регулирования / А. И. Лузина // Вестник магистратуры. – 2024. – № 9-2 (156). – С. 18–20.</w:t>
      </w:r>
    </w:p>
    <w:p w:rsidR="00352FC1" w:rsidRPr="00775C88" w:rsidRDefault="00745136" w:rsidP="00775C88">
      <w:pPr>
        <w:pStyle w:val="a7"/>
        <w:widowControl w:val="0"/>
        <w:numPr>
          <w:ilvl w:val="0"/>
          <w:numId w:val="2"/>
        </w:numPr>
        <w:spacing w:after="0" w:line="240" w:lineRule="auto"/>
        <w:ind w:left="426" w:hanging="426"/>
        <w:jc w:val="both"/>
        <w:rPr>
          <w:rFonts w:ascii="Times New Roman" w:hAnsi="Times New Roman" w:cs="Times New Roman"/>
        </w:rPr>
      </w:pPr>
      <w:r w:rsidRPr="00775C88">
        <w:rPr>
          <w:rFonts w:ascii="Times New Roman" w:hAnsi="Times New Roman" w:cs="Times New Roman"/>
        </w:rPr>
        <w:t>Старченко, А. С. Понятие и природа завещания / А. С. Старченко, Д. С. Протасова // Международный журнал гуманитарных и естественных наук. – 2022. – № 4-3. – С. 180–182.</w:t>
      </w:r>
    </w:p>
    <w:p w:rsidR="00775C88" w:rsidRPr="00F55154" w:rsidRDefault="00775C88" w:rsidP="00F55154">
      <w:pPr>
        <w:pStyle w:val="a7"/>
        <w:widowControl w:val="0"/>
        <w:spacing w:after="0" w:line="240" w:lineRule="auto"/>
        <w:ind w:left="426"/>
        <w:jc w:val="both"/>
        <w:rPr>
          <w:rFonts w:ascii="Times New Roman" w:hAnsi="Times New Roman" w:cs="Times New Roman"/>
        </w:rPr>
      </w:pPr>
    </w:p>
    <w:sectPr w:rsidR="00775C88" w:rsidRPr="00F55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A02"/>
    <w:multiLevelType w:val="hybridMultilevel"/>
    <w:tmpl w:val="D4AA01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770247C"/>
    <w:multiLevelType w:val="hybridMultilevel"/>
    <w:tmpl w:val="77B84C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BA7714"/>
    <w:multiLevelType w:val="hybridMultilevel"/>
    <w:tmpl w:val="1B5AB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4193099">
    <w:abstractNumId w:val="2"/>
  </w:num>
  <w:num w:numId="2" w16cid:durableId="63723112">
    <w:abstractNumId w:val="1"/>
  </w:num>
  <w:num w:numId="3" w16cid:durableId="211277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1"/>
    <w:rsid w:val="00010203"/>
    <w:rsid w:val="00043107"/>
    <w:rsid w:val="00045A11"/>
    <w:rsid w:val="00352FC1"/>
    <w:rsid w:val="00745136"/>
    <w:rsid w:val="00775C88"/>
    <w:rsid w:val="00801D8A"/>
    <w:rsid w:val="008D3E30"/>
    <w:rsid w:val="00D9462F"/>
    <w:rsid w:val="00E12F8B"/>
    <w:rsid w:val="00F55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F841CB"/>
  <w15:chartTrackingRefBased/>
  <w15:docId w15:val="{CAC7DBF7-5016-D04A-8F1A-30B4CA33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A11"/>
  </w:style>
  <w:style w:type="paragraph" w:styleId="1">
    <w:name w:val="heading 1"/>
    <w:basedOn w:val="a"/>
    <w:next w:val="a"/>
    <w:link w:val="10"/>
    <w:uiPriority w:val="9"/>
    <w:qFormat/>
    <w:rsid w:val="00045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5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5A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5A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5A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5A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5A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5A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5A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A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5A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5A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5A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5A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5A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5A11"/>
    <w:rPr>
      <w:rFonts w:eastAsiaTheme="majorEastAsia" w:cstheme="majorBidi"/>
      <w:color w:val="595959" w:themeColor="text1" w:themeTint="A6"/>
    </w:rPr>
  </w:style>
  <w:style w:type="character" w:customStyle="1" w:styleId="80">
    <w:name w:val="Заголовок 8 Знак"/>
    <w:basedOn w:val="a0"/>
    <w:link w:val="8"/>
    <w:uiPriority w:val="9"/>
    <w:semiHidden/>
    <w:rsid w:val="00045A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5A11"/>
    <w:rPr>
      <w:rFonts w:eastAsiaTheme="majorEastAsia" w:cstheme="majorBidi"/>
      <w:color w:val="272727" w:themeColor="text1" w:themeTint="D8"/>
    </w:rPr>
  </w:style>
  <w:style w:type="paragraph" w:styleId="a3">
    <w:name w:val="Title"/>
    <w:basedOn w:val="a"/>
    <w:next w:val="a"/>
    <w:link w:val="a4"/>
    <w:uiPriority w:val="10"/>
    <w:qFormat/>
    <w:rsid w:val="00045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5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A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5A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5A11"/>
    <w:pPr>
      <w:spacing w:before="160"/>
      <w:jc w:val="center"/>
    </w:pPr>
    <w:rPr>
      <w:i/>
      <w:iCs/>
      <w:color w:val="404040" w:themeColor="text1" w:themeTint="BF"/>
    </w:rPr>
  </w:style>
  <w:style w:type="character" w:customStyle="1" w:styleId="22">
    <w:name w:val="Цитата 2 Знак"/>
    <w:basedOn w:val="a0"/>
    <w:link w:val="21"/>
    <w:uiPriority w:val="29"/>
    <w:rsid w:val="00045A11"/>
    <w:rPr>
      <w:i/>
      <w:iCs/>
      <w:color w:val="404040" w:themeColor="text1" w:themeTint="BF"/>
    </w:rPr>
  </w:style>
  <w:style w:type="paragraph" w:styleId="a7">
    <w:name w:val="List Paragraph"/>
    <w:basedOn w:val="a"/>
    <w:uiPriority w:val="34"/>
    <w:qFormat/>
    <w:rsid w:val="00045A11"/>
    <w:pPr>
      <w:ind w:left="720"/>
      <w:contextualSpacing/>
    </w:pPr>
  </w:style>
  <w:style w:type="character" w:styleId="a8">
    <w:name w:val="Intense Emphasis"/>
    <w:basedOn w:val="a0"/>
    <w:uiPriority w:val="21"/>
    <w:qFormat/>
    <w:rsid w:val="00045A11"/>
    <w:rPr>
      <w:i/>
      <w:iCs/>
      <w:color w:val="2F5496" w:themeColor="accent1" w:themeShade="BF"/>
    </w:rPr>
  </w:style>
  <w:style w:type="paragraph" w:styleId="a9">
    <w:name w:val="Intense Quote"/>
    <w:basedOn w:val="a"/>
    <w:next w:val="a"/>
    <w:link w:val="aa"/>
    <w:uiPriority w:val="30"/>
    <w:qFormat/>
    <w:rsid w:val="00045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5A11"/>
    <w:rPr>
      <w:i/>
      <w:iCs/>
      <w:color w:val="2F5496" w:themeColor="accent1" w:themeShade="BF"/>
    </w:rPr>
  </w:style>
  <w:style w:type="character" w:styleId="ab">
    <w:name w:val="Intense Reference"/>
    <w:basedOn w:val="a0"/>
    <w:uiPriority w:val="32"/>
    <w:qFormat/>
    <w:rsid w:val="00045A11"/>
    <w:rPr>
      <w:b/>
      <w:bCs/>
      <w:smallCaps/>
      <w:color w:val="2F5496" w:themeColor="accent1" w:themeShade="BF"/>
      <w:spacing w:val="5"/>
    </w:rPr>
  </w:style>
  <w:style w:type="paragraph" w:styleId="HTML">
    <w:name w:val="HTML Preformatted"/>
    <w:basedOn w:val="a"/>
    <w:link w:val="HTML0"/>
    <w:uiPriority w:val="99"/>
    <w:unhideWhenUsed/>
    <w:rsid w:val="00745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745136"/>
    <w:rPr>
      <w:rFonts w:ascii="Courier New" w:eastAsia="Times New Roman" w:hAnsi="Courier New" w:cs="Courier New"/>
      <w:kern w:val="0"/>
      <w:sz w:val="20"/>
      <w:szCs w:val="20"/>
      <w:lang w:eastAsia="ru-RU"/>
      <w14:ligatures w14:val="none"/>
    </w:rPr>
  </w:style>
  <w:style w:type="character" w:customStyle="1" w:styleId="default">
    <w:name w:val="default"/>
    <w:basedOn w:val="a0"/>
    <w:rsid w:val="0074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назина</dc:creator>
  <cp:keywords/>
  <dc:description/>
  <cp:lastModifiedBy>арина назина</cp:lastModifiedBy>
  <cp:revision>2</cp:revision>
  <dcterms:created xsi:type="dcterms:W3CDTF">2026-04-06T17:12:00Z</dcterms:created>
  <dcterms:modified xsi:type="dcterms:W3CDTF">2026-04-06T17:12:00Z</dcterms:modified>
</cp:coreProperties>
</file>