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6C1" w:rsidRDefault="00CA56C1" w:rsidP="00CA56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Пути совершенствования цикла бюджетного планирования в ОАО "РЖД"</w:t>
      </w:r>
    </w:p>
    <w:p w:rsidR="00CA56C1" w:rsidRPr="005F7574" w:rsidRDefault="00CA56C1" w:rsidP="00CA56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Салова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Виолетта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Денисовна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Студент</w:t>
      </w:r>
    </w:p>
    <w:p w:rsidR="00CA56C1" w:rsidRPr="00875B89" w:rsidRDefault="00875B89" w:rsidP="00CA56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Нуретдинова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Юлия Викторовна</w:t>
      </w:r>
    </w:p>
    <w:p w:rsidR="00CA56C1" w:rsidRPr="005F7574" w:rsidRDefault="00CA56C1" w:rsidP="00CA56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Научный руководитель, </w:t>
      </w:r>
      <w:proofErr w:type="spellStart"/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доценти</w:t>
      </w:r>
      <w:proofErr w:type="spellEnd"/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proofErr w:type="spellStart"/>
      <w:proofErr w:type="gramStart"/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</w:t>
      </w:r>
      <w:proofErr w:type="gramEnd"/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.э.н</w:t>
      </w:r>
      <w:proofErr w:type="spellEnd"/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. 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Экономический ф</w:t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акультет </w:t>
      </w:r>
    </w:p>
    <w:p w:rsidR="00CA56C1" w:rsidRDefault="00CA56C1" w:rsidP="00CA56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CA56C1" w:rsidRPr="00875B89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Ключевые слова: </w:t>
      </w:r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бюджетное планирование, ОАО «РЖД», прогнозирование грузооборота, сценарное планирование, свободный денежный поток (</w:t>
      </w:r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FCF</w:t>
      </w:r>
      <w:r w:rsidR="00875B89"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), точность прогнозов (</w:t>
      </w:r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MAPE</w:t>
      </w:r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), управление ликвидностью, эффективность инвестиций </w:t>
      </w:r>
      <w:r w:rsidR="00875B89"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(</w:t>
      </w:r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ROI</w:t>
      </w:r>
      <w:r w:rsidR="00875B89"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)</w:t>
      </w:r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, </w:t>
      </w:r>
      <w:proofErr w:type="spellStart"/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цифровизация</w:t>
      </w:r>
      <w:proofErr w:type="spellEnd"/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управления, автоматизация </w:t>
      </w:r>
      <w:proofErr w:type="spellStart"/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бюджетирования</w:t>
      </w:r>
      <w:proofErr w:type="spellEnd"/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</w:p>
    <w:p w:rsidR="00CA56C1" w:rsidRPr="006779B6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ОАО "РЖД" играет ключевую роль в экономике России, обеспечивая транспортную инфраструктуру и оказывая значительное влияние на промышленное развитие регионов. 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Качество бюджетного планирования – ключевой фактор финансовой устойчивости компании. 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Н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есмотря на наличие развитой, регламентированной и в значительной степени автоматизированной системы, существуют недостатки, снижающие ее к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онечную эффективность: 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проблемы с точностью прогнозов, управлением ликвидностью, адаптивностью и достижением целевых финансовых результатов. В связи с этим совершенствование цикла бюджетного планирования должно быть направлено не на коренную ломку существующей системы, а на ее развитие и повышение гибкости, точности и оперативности. 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Предлагаются следующие мероприятия.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1. Углубление методологии прогнозирования и внедрение сценарного планирования.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Основной выявленной проблемой является недостаточная точность прогнозов. Отклонение по грузообороту в 2024 году составило -9,6%, а фактическая чистая прибыль оказалась в 8,5 раз ниже результата 2023 года, что указывает на системные ошибки в планировании доходов и расходов.</w:t>
      </w:r>
    </w:p>
    <w:p w:rsid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Для ключевых показателей, таких как объем грузоперевозок, предлагается внедрить модели прогнозирования (ARIMA, </w:t>
      </w:r>
      <w:proofErr w:type="spellStart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XGBoost</w:t>
      </w:r>
      <w:proofErr w:type="spellEnd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). Эффективность можно оценить через сравнение средней ошибки прогноза (MAPE). Если текущая методика дает MAPE на уровне 10% для годового прогноза погрузки, то внедрение новой модели, снижающей ошибку до 7%, даст значимый экономический эффект за счет более точного планирования ресурсов и доходов.</w:t>
      </w:r>
    </w:p>
    <w:p w:rsidR="00CA56C1" w:rsidRPr="00CA56C1" w:rsidRDefault="00CA56C1" w:rsidP="00CA56C1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56C1">
        <w:rPr>
          <w:rFonts w:ascii="Times New Roman" w:hAnsi="Times New Roman" w:cs="Times New Roman"/>
          <w:lang w:val="en-US"/>
        </w:rPr>
        <w:t>MAPE</w:t>
      </w:r>
      <w:r w:rsidRPr="00CA56C1">
        <w:rPr>
          <w:rFonts w:ascii="Times New Roman" w:hAnsi="Times New Roman" w:cs="Times New Roman"/>
        </w:rPr>
        <w:t xml:space="preserve"> </w:t>
      </w:r>
      <w:proofErr w:type="gramStart"/>
      <w:r w:rsidRPr="00CA56C1">
        <w:rPr>
          <w:rFonts w:ascii="Times New Roman" w:hAnsi="Times New Roman" w:cs="Times New Roman"/>
        </w:rPr>
        <w:t xml:space="preserve">= </w:t>
      </w:r>
      <m:oMath>
        <w:proofErr w:type="gramEnd"/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n</m:t>
            </m:r>
          </m:den>
        </m:f>
        <m:nary>
          <m:naryPr>
            <m:chr m:val="∑"/>
            <m:limLoc m:val="subSup"/>
            <m:ctrlPr>
              <w:rPr>
                <w:rFonts w:ascii="Cambria Math" w:hAnsi="Times New Roman" w:cs="Times New Roman"/>
                <w:i/>
              </w:rPr>
            </m:ctrlPr>
          </m:naryPr>
          <m:sub>
            <m:r>
              <w:rPr>
                <w:rFonts w:ascii="Cambria Math" w:hAnsi="Cambria Math" w:cs="Times New Roman"/>
              </w:rPr>
              <m:t>t</m:t>
            </m:r>
            <m:r>
              <w:rPr>
                <w:rFonts w:ascii="Cambria Math" w:hAnsi="Times New Roman" w:cs="Times New Roman"/>
              </w:rPr>
              <m:t>=1</m:t>
            </m:r>
          </m:sub>
          <m:sup>
            <m:r>
              <w:rPr>
                <w:rFonts w:ascii="Cambria Math" w:hAnsi="Cambria Math" w:cs="Times New Roman"/>
              </w:rPr>
              <m:t>n</m:t>
            </m:r>
          </m:sup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  <m:r>
                      <w:rPr>
                        <w:rFonts w:ascii="Times New Roman" w:hAnsi="Times New Roman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sub>
                    </m:sSub>
                  </m:den>
                </m:f>
              </m:e>
            </m:d>
          </m:e>
        </m:nary>
        <m:r>
          <w:rPr>
            <w:rFonts w:ascii="Times New Roman" w:hAnsi="Times New Roman" w:cs="Times New Roman"/>
          </w:rPr>
          <m:t>×</m:t>
        </m:r>
        <m:r>
          <w:rPr>
            <w:rFonts w:ascii="Cambria Math" w:hAnsi="Times New Roman" w:cs="Times New Roman"/>
          </w:rPr>
          <m:t>100%</m:t>
        </m:r>
      </m:oMath>
      <w:r w:rsidRPr="00CA56C1">
        <w:rPr>
          <w:rFonts w:ascii="Times New Roman" w:hAnsi="Times New Roman" w:cs="Times New Roman"/>
        </w:rPr>
        <w:t>, где                                                                                     (1)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A</w:t>
      </w:r>
      <w:r>
        <w:rPr>
          <w:rFonts w:ascii="Times New Roman" w:eastAsia="Times New Roman" w:hAnsi="Times New Roman" w:cs="Times New Roman"/>
          <w:color w:val="000000" w:themeColor="text1"/>
          <w:kern w:val="0"/>
          <w:vertAlign w:val="subscript"/>
          <w:lang w:val="en-US" w:eastAsia="ru-RU"/>
        </w:rPr>
        <w:t>t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— фактическое значение, 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F</w:t>
      </w:r>
      <w:r>
        <w:rPr>
          <w:rFonts w:ascii="Times New Roman" w:eastAsia="Times New Roman" w:hAnsi="Times New Roman" w:cs="Times New Roman"/>
          <w:color w:val="000000" w:themeColor="text1"/>
          <w:kern w:val="0"/>
          <w:vertAlign w:val="subscript"/>
          <w:lang w:val="en-US" w:eastAsia="ru-RU"/>
        </w:rPr>
        <w:t>t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— прог</w:t>
      </w:r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нозируемое значение. [1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]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При плановом грузообороте в 3 431,3 млрд</w:t>
      </w:r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proofErr w:type="spellStart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ткм</w:t>
      </w:r>
      <w:proofErr w:type="spellEnd"/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и MAPE в 9,6% (факт 2024 г.) абсолютная ошибка планирования составила около 329 млрд</w:t>
      </w:r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proofErr w:type="spellStart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ткм</w:t>
      </w:r>
      <w:proofErr w:type="spellEnd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 Снижение MAPE до 7% уменьшило бы эту ошибку до 240 млрд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proofErr w:type="spellStart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ткм</w:t>
      </w:r>
      <w:proofErr w:type="spellEnd"/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 повысив точность планирования доходной базы, напрямую зависящей от грузооборота.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Необходимо дополнить бюджет тремя обязательными сценариями. Финансовые последствия каждого сценария должны оцениваться через их влияние на ключевой показатель — свободный денежный поток (FCF).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Свободный денежный поток (FCF) = Чистая операционная прибыль + Амортизация – Капитальные затраты – Изменение оборотного капитала. 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Для пессимистичного сценария (падение грузопотока на 5%, рост цен на дизтопливо на 15%) необходимо рассчитать прогнозное снижение FCF. </w:t>
      </w:r>
      <w:proofErr w:type="gramStart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Если при базовом сценарии плановый FCF на 2025 год составляет 200 млрд</w:t>
      </w:r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руб., то в пессимистичном он может уйти в отрицательную зону.</w:t>
      </w:r>
      <w:proofErr w:type="gramEnd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Это количественное обоснование для создания бюджетных резервов. Объем резерва (R) может определяться как: 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hAnsi="Times New Roman" w:cs="Times New Roman"/>
          <w:shd w:val="clear" w:color="auto" w:fill="FFFFFF"/>
          <w:lang w:val="en-US"/>
        </w:rPr>
        <w:lastRenderedPageBreak/>
        <w:t>R</w:t>
      </w:r>
      <w:r w:rsidRPr="00CA56C1">
        <w:rPr>
          <w:rFonts w:ascii="Times New Roman" w:hAnsi="Times New Roman" w:cs="Times New Roman"/>
          <w:shd w:val="clear" w:color="auto" w:fill="FFFFFF"/>
        </w:rPr>
        <w:t xml:space="preserve"> = | </w:t>
      </w:r>
      <w:r w:rsidRPr="00CA56C1">
        <w:rPr>
          <w:rFonts w:ascii="Times New Roman" w:hAnsi="Times New Roman" w:cs="Times New Roman"/>
          <w:shd w:val="clear" w:color="auto" w:fill="FFFFFF"/>
          <w:lang w:val="en-US"/>
        </w:rPr>
        <w:t>FCF</w:t>
      </w:r>
      <w:proofErr w:type="spellStart"/>
      <w:r w:rsidRPr="00CA56C1">
        <w:rPr>
          <w:rFonts w:ascii="Times New Roman" w:hAnsi="Times New Roman" w:cs="Times New Roman"/>
          <w:shd w:val="clear" w:color="auto" w:fill="FFFFFF"/>
          <w:vertAlign w:val="subscript"/>
        </w:rPr>
        <w:t>песс</w:t>
      </w:r>
      <w:proofErr w:type="spellEnd"/>
      <w:r w:rsidRPr="00CA56C1">
        <w:rPr>
          <w:rFonts w:ascii="Times New Roman" w:hAnsi="Times New Roman" w:cs="Times New Roman"/>
          <w:shd w:val="clear" w:color="auto" w:fill="FFFFFF"/>
        </w:rPr>
        <w:t xml:space="preserve"> – </w:t>
      </w:r>
      <w:r w:rsidRPr="00CA56C1">
        <w:rPr>
          <w:rFonts w:ascii="Times New Roman" w:hAnsi="Times New Roman" w:cs="Times New Roman"/>
          <w:shd w:val="clear" w:color="auto" w:fill="FFFFFF"/>
          <w:lang w:val="en-US"/>
        </w:rPr>
        <w:t>FCF</w:t>
      </w:r>
      <w:r w:rsidRPr="00CA56C1">
        <w:rPr>
          <w:rFonts w:ascii="Times New Roman" w:hAnsi="Times New Roman" w:cs="Times New Roman"/>
          <w:shd w:val="clear" w:color="auto" w:fill="FFFFFF"/>
          <w:vertAlign w:val="subscript"/>
        </w:rPr>
        <w:t xml:space="preserve">баз </w:t>
      </w:r>
      <w:r w:rsidRPr="00CA56C1">
        <w:rPr>
          <w:rFonts w:ascii="Times New Roman" w:hAnsi="Times New Roman" w:cs="Times New Roman"/>
          <w:shd w:val="clear" w:color="auto" w:fill="FFFFFF"/>
        </w:rPr>
        <w:t xml:space="preserve">| </w:t>
      </w:r>
      <m:oMath>
        <m:r>
          <w:rPr>
            <w:rFonts w:ascii="Cambria Math" w:hAnsi="Times New Roman" w:cs="Times New Roman"/>
            <w:shd w:val="clear" w:color="auto" w:fill="FFFFFF"/>
          </w:rPr>
          <m:t>×</m:t>
        </m:r>
      </m:oMath>
      <w:r w:rsidRPr="00CA56C1">
        <w:rPr>
          <w:rFonts w:ascii="Times New Roman" w:hAnsi="Times New Roman" w:cs="Times New Roman"/>
          <w:shd w:val="clear" w:color="auto" w:fill="FFFFFF"/>
        </w:rPr>
        <w:t xml:space="preserve"> К, где                        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                                         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                       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(2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)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                                          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gramStart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</w:t>
      </w:r>
      <w:proofErr w:type="gramEnd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– коэффициент риска (0,5-0,7)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2. Повышение оперативности и глубины контроля исполнения бюджета.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Проблема кассовых разрывов, потребовавших в 2024 году привлечения 200 млрд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руб. государственной поддержки, свидетельствует о недостатках оперативного контроля.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Скользящий бюджет позволит пересматривать прогнозы ежеквартально. Эффект можно измерить через снижение кумулятивной ошибки прогноза к концу года.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Если ошибка прогноза выручки при годовом планировании составляет 10%, то при скользящем планировании с квартальным пересмотром ошибка каждого нового квартального прогноза может быть снижена до 3-5%. Это напрямую влияет на точность планирования закупок и инвестиций.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Дальнейшее развитие системы «1С</w:t>
      </w:r>
      <w:proofErr w:type="gramStart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:У</w:t>
      </w:r>
      <w:proofErr w:type="gramEnd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правление холдингом» и интеграция с BI-платформами сократит трудозатраты.</w:t>
      </w:r>
    </w:p>
    <w:p w:rsid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Формула расчета экономии на трудозатратах (</w:t>
      </w:r>
      <w:proofErr w:type="spellStart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Эт</w:t>
      </w:r>
      <w:proofErr w:type="spellEnd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):</w:t>
      </w:r>
    </w:p>
    <w:p w:rsidR="00CA56C1" w:rsidRPr="00CA56C1" w:rsidRDefault="00CA56C1" w:rsidP="00CA56C1">
      <w:pPr>
        <w:tabs>
          <w:tab w:val="left" w:pos="8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spellStart"/>
      <w:r w:rsidRPr="00CA56C1">
        <w:rPr>
          <w:rFonts w:ascii="Times New Roman" w:hAnsi="Times New Roman" w:cs="Times New Roman"/>
          <w:shd w:val="clear" w:color="auto" w:fill="FFFFFF"/>
        </w:rPr>
        <w:t>Эт</w:t>
      </w:r>
      <w:proofErr w:type="spellEnd"/>
      <w:r w:rsidRPr="00CA56C1">
        <w:rPr>
          <w:rFonts w:ascii="Times New Roman" w:hAnsi="Times New Roman" w:cs="Times New Roman"/>
          <w:shd w:val="clear" w:color="auto" w:fill="FFFFFF"/>
        </w:rPr>
        <w:t xml:space="preserve"> = (</w:t>
      </w:r>
      <w:proofErr w:type="spellStart"/>
      <w:r w:rsidRPr="00CA56C1">
        <w:rPr>
          <w:rFonts w:ascii="Times New Roman" w:hAnsi="Times New Roman" w:cs="Times New Roman"/>
          <w:shd w:val="clear" w:color="auto" w:fill="FFFFFF"/>
        </w:rPr>
        <w:t>Т</w:t>
      </w:r>
      <w:r w:rsidRPr="00CA56C1">
        <w:rPr>
          <w:rFonts w:ascii="Times New Roman" w:hAnsi="Times New Roman" w:cs="Times New Roman"/>
          <w:shd w:val="clear" w:color="auto" w:fill="FFFFFF"/>
          <w:vertAlign w:val="subscript"/>
        </w:rPr>
        <w:t>стар</w:t>
      </w:r>
      <w:proofErr w:type="spellEnd"/>
      <w:r w:rsidRPr="00CA56C1">
        <w:rPr>
          <w:rFonts w:ascii="Times New Roman" w:hAnsi="Times New Roman" w:cs="Times New Roman"/>
          <w:shd w:val="clear" w:color="auto" w:fill="FFFFFF"/>
        </w:rPr>
        <w:t xml:space="preserve"> – </w:t>
      </w:r>
      <w:proofErr w:type="spellStart"/>
      <w:r w:rsidRPr="00CA56C1">
        <w:rPr>
          <w:rFonts w:ascii="Times New Roman" w:hAnsi="Times New Roman" w:cs="Times New Roman"/>
          <w:shd w:val="clear" w:color="auto" w:fill="FFFFFF"/>
        </w:rPr>
        <w:t>Т</w:t>
      </w:r>
      <w:r w:rsidRPr="00CA56C1">
        <w:rPr>
          <w:rFonts w:ascii="Times New Roman" w:hAnsi="Times New Roman" w:cs="Times New Roman"/>
          <w:shd w:val="clear" w:color="auto" w:fill="FFFFFF"/>
          <w:vertAlign w:val="subscript"/>
        </w:rPr>
        <w:t>нов</w:t>
      </w:r>
      <w:proofErr w:type="spellEnd"/>
      <w:r w:rsidRPr="00CA56C1">
        <w:rPr>
          <w:rFonts w:ascii="Times New Roman" w:hAnsi="Times New Roman" w:cs="Times New Roman"/>
          <w:shd w:val="clear" w:color="auto" w:fill="FFFFFF"/>
        </w:rPr>
        <w:t xml:space="preserve">) × Ч × </w:t>
      </w:r>
      <w:proofErr w:type="spellStart"/>
      <w:r w:rsidRPr="00CA56C1">
        <w:rPr>
          <w:rFonts w:ascii="Times New Roman" w:hAnsi="Times New Roman" w:cs="Times New Roman"/>
          <w:shd w:val="clear" w:color="auto" w:fill="FFFFFF"/>
        </w:rPr>
        <w:t>Сч</w:t>
      </w:r>
      <w:proofErr w:type="spellEnd"/>
      <w:r w:rsidRPr="00CA56C1">
        <w:rPr>
          <w:rFonts w:ascii="Times New Roman" w:hAnsi="Times New Roman" w:cs="Times New Roman"/>
          <w:shd w:val="clear" w:color="auto" w:fill="FFFFFF"/>
        </w:rPr>
        <w:t xml:space="preserve">, где                                                                  </w:t>
      </w:r>
      <w:r>
        <w:rPr>
          <w:rFonts w:ascii="Times New Roman" w:hAnsi="Times New Roman" w:cs="Times New Roman"/>
          <w:shd w:val="clear" w:color="auto" w:fill="FFFFFF"/>
        </w:rPr>
        <w:tab/>
      </w:r>
      <w:r w:rsidRPr="00CA56C1">
        <w:rPr>
          <w:rFonts w:ascii="Times New Roman" w:hAnsi="Times New Roman" w:cs="Times New Roman"/>
          <w:shd w:val="clear" w:color="auto" w:fill="FFFFFF"/>
        </w:rPr>
        <w:t xml:space="preserve">          (3)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CA56C1">
        <w:rPr>
          <w:rFonts w:ascii="Times New Roman" w:hAnsi="Times New Roman" w:cs="Times New Roman"/>
          <w:shd w:val="clear" w:color="auto" w:fill="FFFFFF"/>
        </w:rPr>
        <w:t>Т</w:t>
      </w:r>
      <w:r w:rsidRPr="00CA56C1">
        <w:rPr>
          <w:rFonts w:ascii="Times New Roman" w:hAnsi="Times New Roman" w:cs="Times New Roman"/>
          <w:shd w:val="clear" w:color="auto" w:fill="FFFFFF"/>
          <w:vertAlign w:val="subscript"/>
        </w:rPr>
        <w:t>стар</w:t>
      </w:r>
      <w:proofErr w:type="spellEnd"/>
      <w:r w:rsidRPr="00CA56C1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CA56C1">
        <w:rPr>
          <w:rFonts w:ascii="Times New Roman" w:hAnsi="Times New Roman" w:cs="Times New Roman"/>
          <w:shd w:val="clear" w:color="auto" w:fill="FFFFFF"/>
        </w:rPr>
        <w:t>Т</w:t>
      </w:r>
      <w:r w:rsidRPr="00CA56C1">
        <w:rPr>
          <w:rFonts w:ascii="Times New Roman" w:hAnsi="Times New Roman" w:cs="Times New Roman"/>
          <w:shd w:val="clear" w:color="auto" w:fill="FFFFFF"/>
          <w:vertAlign w:val="subscript"/>
        </w:rPr>
        <w:t>нов</w:t>
      </w:r>
      <w:proofErr w:type="spellEnd"/>
      <w:r w:rsidRPr="00CA56C1">
        <w:rPr>
          <w:rFonts w:ascii="Times New Roman" w:hAnsi="Times New Roman" w:cs="Times New Roman"/>
          <w:shd w:val="clear" w:color="auto" w:fill="FFFFFF"/>
        </w:rPr>
        <w:t xml:space="preserve"> — время подготовки отчета до и после автоматизации (в часах),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Ч — количество специалистов, задействованных в процессе,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spellStart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Сч</w:t>
      </w:r>
      <w:proofErr w:type="spellEnd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— средняя часовая стоимость труда специалиста.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Если на сбор и консолидацию ежемесячного отчета по ЦФО уходит 200 часов (5 человек × 40 часов), а после интеграции систем — 50 часов, то при средней часовой ставке 1500 руб. месячная экономия составит: (200 - 50) × 5 × 1500 = 1 125 000 руб. Годовая экономия — порядка 13,5 </w:t>
      </w:r>
      <w:proofErr w:type="spellStart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млн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руб.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3. Совершенствование организационных процедур с количественной оценкой влияния на производительность.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Для устранения проблем низкой вовлеченности и слабой </w:t>
      </w:r>
      <w:proofErr w:type="spellStart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межфункциональной</w:t>
      </w:r>
      <w:proofErr w:type="spellEnd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координации.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Эффект можно оценить через сокращение сроков согласования инвестиционных проектов и снижение уровня непроизводительных затрат.</w:t>
      </w:r>
    </w:p>
    <w:p w:rsid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Формула оценки сокращения цикла согласования: 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56C1">
        <w:rPr>
          <w:rFonts w:ascii="Times New Roman" w:hAnsi="Times New Roman" w:cs="Times New Roman"/>
        </w:rPr>
        <w:t>Δ</w:t>
      </w:r>
      <w:proofErr w:type="spellStart"/>
      <w:r w:rsidRPr="00CA56C1">
        <w:rPr>
          <w:rFonts w:ascii="Times New Roman" w:hAnsi="Times New Roman" w:cs="Times New Roman"/>
        </w:rPr>
        <w:t>T=</w:t>
      </w:r>
      <w:proofErr w:type="gramStart"/>
      <w:r w:rsidRPr="00CA56C1">
        <w:rPr>
          <w:rFonts w:ascii="Times New Roman" w:hAnsi="Times New Roman" w:cs="Times New Roman"/>
        </w:rPr>
        <w:t>T</w:t>
      </w:r>
      <w:proofErr w:type="gramEnd"/>
      <w:r w:rsidRPr="00CA56C1">
        <w:rPr>
          <w:rFonts w:ascii="Times New Roman" w:hAnsi="Times New Roman" w:cs="Times New Roman"/>
          <w:vertAlign w:val="subscript"/>
        </w:rPr>
        <w:t>трад</w:t>
      </w:r>
      <w:r w:rsidRPr="00CA56C1">
        <w:rPr>
          <w:rFonts w:ascii="Times New Roman" w:hAnsi="Times New Roman" w:cs="Times New Roman"/>
        </w:rPr>
        <w:t>−T</w:t>
      </w:r>
      <w:r w:rsidRPr="00CA56C1">
        <w:rPr>
          <w:rFonts w:ascii="Times New Roman" w:hAnsi="Times New Roman" w:cs="Times New Roman"/>
          <w:vertAlign w:val="subscript"/>
        </w:rPr>
        <w:t>группа</w:t>
      </w:r>
      <w:proofErr w:type="spellEnd"/>
      <w:r w:rsidRPr="00CA56C1">
        <w:rPr>
          <w:rFonts w:ascii="Times New Roman" w:hAnsi="Times New Roman" w:cs="Times New Roman"/>
        </w:rPr>
        <w:t xml:space="preserve"> ​, где 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                  </w:t>
      </w:r>
      <w:r w:rsidRPr="00CA56C1">
        <w:rPr>
          <w:rFonts w:ascii="Times New Roman" w:hAnsi="Times New Roman" w:cs="Times New Roman"/>
        </w:rPr>
        <w:t xml:space="preserve">        (4)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A56C1">
        <w:rPr>
          <w:rFonts w:ascii="Times New Roman" w:hAnsi="Times New Roman" w:cs="Times New Roman"/>
        </w:rPr>
        <w:t>T</w:t>
      </w:r>
      <w:proofErr w:type="gramEnd"/>
      <w:r w:rsidRPr="00CA56C1">
        <w:rPr>
          <w:rFonts w:ascii="Times New Roman" w:hAnsi="Times New Roman" w:cs="Times New Roman"/>
          <w:vertAlign w:val="subscript"/>
        </w:rPr>
        <w:t>трад</w:t>
      </w:r>
      <w:proofErr w:type="spellEnd"/>
      <w:r w:rsidRPr="00CA56C1">
        <w:rPr>
          <w:rFonts w:ascii="Times New Roman" w:hAnsi="Times New Roman" w:cs="Times New Roman"/>
          <w:iCs/>
        </w:rPr>
        <w:t xml:space="preserve"> </w:t>
      </w:r>
      <w:r w:rsidRPr="00CA56C1">
        <w:rPr>
          <w:rFonts w:ascii="Times New Roman" w:hAnsi="Times New Roman" w:cs="Times New Roman"/>
        </w:rPr>
        <w:t>— средний срок согласования проекта по старым процедурам (например, 90 дней), 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CA56C1">
        <w:rPr>
          <w:rFonts w:ascii="Times New Roman" w:hAnsi="Times New Roman" w:cs="Times New Roman"/>
        </w:rPr>
        <w:t>T</w:t>
      </w:r>
      <w:proofErr w:type="gramEnd"/>
      <w:r w:rsidRPr="00CA56C1">
        <w:rPr>
          <w:rFonts w:ascii="Times New Roman" w:hAnsi="Times New Roman" w:cs="Times New Roman"/>
          <w:vertAlign w:val="subscript"/>
        </w:rPr>
        <w:t>группа</w:t>
      </w:r>
      <w:proofErr w:type="spellEnd"/>
      <w:r w:rsidRPr="00CA56C1">
        <w:rPr>
          <w:rFonts w:ascii="Times New Roman" w:hAnsi="Times New Roman" w:cs="Times New Roman"/>
        </w:rPr>
        <w:t xml:space="preserve">​ — срок при работе проектного офиса (целевой показатель 60 дней). 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Сокращение цикла на 30 дней ускоряет окупаемость проекта.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4. </w:t>
      </w:r>
      <w:proofErr w:type="gramStart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Дальнейшая</w:t>
      </w:r>
      <w:proofErr w:type="gramEnd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proofErr w:type="spellStart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цифровизация</w:t>
      </w:r>
      <w:proofErr w:type="spellEnd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и повышение аналитической мощности системы.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Инвестиции в BI-аналитику и прогнозные модели требуют обоснования возврата на инвестиции (ROI).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Расчет ROI от внедрения системы прогнозной аналитики: [</w:t>
      </w:r>
      <w:r w:rsid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2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]</w:t>
      </w:r>
    </w:p>
    <w:p w:rsidR="00CA56C1" w:rsidRPr="00CA56C1" w:rsidRDefault="00CA56C1" w:rsidP="00CA56C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CA56C1">
        <w:rPr>
          <w:rFonts w:ascii="Times New Roman" w:hAnsi="Times New Roman" w:cs="Times New Roman"/>
          <w:shd w:val="clear" w:color="auto" w:fill="FFFFFF"/>
          <w:lang w:val="en-US"/>
        </w:rPr>
        <w:t xml:space="preserve">ROI = </w:t>
      </w:r>
      <m:oMath>
        <m:f>
          <m:fPr>
            <m:ctrlPr>
              <w:rPr>
                <w:rFonts w:ascii="Cambria Math" w:hAnsi="Times New Roman" w:cs="Times New Roman"/>
                <w:i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>Дополнительный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 xml:space="preserve"> 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>доход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 xml:space="preserve"> 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>или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 xml:space="preserve"> 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>Предотвращенные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 xml:space="preserve"> 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>убытки-Затраты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 xml:space="preserve"> 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>на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 xml:space="preserve"> 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>внедрение</m:t>
            </m:r>
          </m:num>
          <m:den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>Затраты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 xml:space="preserve"> 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>на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 xml:space="preserve"> 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>внедрение</m:t>
            </m:r>
            <m:r>
              <w:rPr>
                <w:rFonts w:ascii="Cambria Math" w:hAnsi="Times New Roman" w:cs="Times New Roman"/>
                <w:shd w:val="clear" w:color="auto" w:fill="FFFFFF"/>
                <w:lang w:val="en-US"/>
              </w:rPr>
              <m:t xml:space="preserve"> </m:t>
            </m:r>
          </m:den>
        </m:f>
      </m:oMath>
      <w:r w:rsidRPr="00CA56C1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m:oMath>
        <m:r>
          <w:rPr>
            <w:rFonts w:ascii="Cambria Math" w:hAnsi="Times New Roman" w:cs="Times New Roman"/>
            <w:shd w:val="clear" w:color="auto" w:fill="FFFFFF"/>
            <w:lang w:val="en-US"/>
          </w:rPr>
          <m:t>×</m:t>
        </m:r>
      </m:oMath>
      <w:r w:rsidRPr="00CA56C1">
        <w:rPr>
          <w:rFonts w:ascii="Times New Roman" w:hAnsi="Times New Roman" w:cs="Times New Roman"/>
          <w:shd w:val="clear" w:color="auto" w:fill="FFFFFF"/>
          <w:lang w:val="en-US"/>
        </w:rPr>
        <w:t xml:space="preserve"> 100%             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                     </w:t>
      </w:r>
      <w:r w:rsidRPr="00CA56C1">
        <w:rPr>
          <w:rFonts w:ascii="Times New Roman" w:hAnsi="Times New Roman" w:cs="Times New Roman"/>
          <w:shd w:val="clear" w:color="auto" w:fill="FFFFFF"/>
          <w:lang w:val="en-US"/>
        </w:rPr>
        <w:t>(5)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Пример структуры затрат и выгод: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Затраты: </w:t>
      </w:r>
      <w:proofErr w:type="gramStart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Лицензии BI-платформы — 50 млн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руб., доработка систем — 30 млн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руб., обучение — 5 млн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руб. Итого: 85 млн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руб.</w:t>
      </w:r>
      <w:proofErr w:type="gramEnd"/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Потенциальная выгода: Снижение </w:t>
      </w:r>
      <w:proofErr w:type="spellStart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логистических</w:t>
      </w:r>
      <w:proofErr w:type="spellEnd"/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затрат за счет оптимизации маршрутов на 1% (при годовых затратах на перевозки в 1,5 трлн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руб. — экономия 15 млрд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руб.). Выявление риска перерасхода по инвестиционным проектам на ранней стадии может предотвратить убытки в размере 2-3% от портфеля (при портфеле в 1 трлн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руб. — 20-30 млрд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руб.).</w:t>
      </w:r>
    </w:p>
    <w:p w:rsid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Оценка годовой выгоды: 15 млрд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руб.</w:t>
      </w:r>
    </w:p>
    <w:p w:rsidR="00875B89" w:rsidRPr="00875B89" w:rsidRDefault="00875B89" w:rsidP="00875B8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875B89">
        <w:rPr>
          <w:rFonts w:ascii="Times New Roman" w:hAnsi="Times New Roman" w:cs="Times New Roman"/>
          <w:shd w:val="clear" w:color="auto" w:fill="FFFFFF"/>
          <w:lang w:val="en-US"/>
        </w:rPr>
        <w:t>ROI</w:t>
      </w:r>
      <w:r w:rsidRPr="00875B89">
        <w:rPr>
          <w:rFonts w:ascii="Times New Roman" w:hAnsi="Times New Roman" w:cs="Times New Roman"/>
          <w:shd w:val="clear" w:color="auto" w:fill="FFFFFF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i/>
                <w:shd w:val="clear" w:color="auto" w:fill="FFFFFF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hd w:val="clear" w:color="auto" w:fill="FFFFFF"/>
              </w:rPr>
              <m:t>15000</m:t>
            </m:r>
            <m:r>
              <w:rPr>
                <w:rFonts w:ascii="Times New Roman" w:hAnsi="Times New Roman" w:cs="Times New Roman"/>
                <w:shd w:val="clear" w:color="auto" w:fill="FFFFFF"/>
              </w:rPr>
              <m:t>-</m:t>
            </m:r>
            <m:r>
              <w:rPr>
                <w:rFonts w:ascii="Cambria Math" w:hAnsi="Times New Roman" w:cs="Times New Roman"/>
                <w:shd w:val="clear" w:color="auto" w:fill="FFFFFF"/>
              </w:rPr>
              <m:t>85</m:t>
            </m:r>
          </m:num>
          <m:den>
            <m:r>
              <w:rPr>
                <w:rFonts w:ascii="Cambria Math" w:hAnsi="Times New Roman" w:cs="Times New Roman"/>
                <w:shd w:val="clear" w:color="auto" w:fill="FFFFFF"/>
              </w:rPr>
              <m:t xml:space="preserve">85 </m:t>
            </m:r>
          </m:den>
        </m:f>
      </m:oMath>
      <w:r w:rsidRPr="00875B89">
        <w:rPr>
          <w:rFonts w:ascii="Times New Roman" w:hAnsi="Times New Roman" w:cs="Times New Roman"/>
          <w:shd w:val="clear" w:color="auto" w:fill="FFFFFF"/>
        </w:rPr>
        <w:t xml:space="preserve"> </w:t>
      </w:r>
      <m:oMath>
        <m:r>
          <w:rPr>
            <w:rFonts w:hAnsi="Times New Roman" w:cs="Times New Roman"/>
            <w:shd w:val="clear" w:color="auto" w:fill="FFFFFF"/>
          </w:rPr>
          <m:t>×</m:t>
        </m:r>
      </m:oMath>
      <w:r w:rsidRPr="00875B89">
        <w:rPr>
          <w:rFonts w:ascii="Times New Roman" w:hAnsi="Times New Roman" w:cs="Times New Roman"/>
          <w:shd w:val="clear" w:color="auto" w:fill="FFFFFF"/>
        </w:rPr>
        <w:t xml:space="preserve"> 100% </w:t>
      </w:r>
      <w:r w:rsidRPr="00875B89">
        <w:rPr>
          <w:rStyle w:val="mrel"/>
          <w:rFonts w:ascii="Times New Roman" w:eastAsiaTheme="majorEastAsia" w:hAnsi="Times New Roman" w:cs="Times New Roman"/>
          <w:shd w:val="clear" w:color="auto" w:fill="FFFFFF"/>
        </w:rPr>
        <w:t xml:space="preserve">≈ </w:t>
      </w:r>
      <w:r w:rsidRPr="00875B89">
        <w:rPr>
          <w:rStyle w:val="mord"/>
          <w:rFonts w:ascii="Times New Roman" w:hAnsi="Times New Roman" w:cs="Times New Roman"/>
          <w:shd w:val="clear" w:color="auto" w:fill="FFFFFF"/>
        </w:rPr>
        <w:t>17500%</w:t>
      </w:r>
    </w:p>
    <w:p w:rsidR="00CA56C1" w:rsidRPr="00CA56C1" w:rsidRDefault="00CA56C1" w:rsidP="00875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Даже при учете лишь 10% от потенциальной выгоды ROI остается чрезвычайно высоким, что доказывает эффективность инвестиций.        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lastRenderedPageBreak/>
        <w:t>Реализация предложенных мер позволит решить выявленные проблемы. Ожидается:</w:t>
      </w:r>
    </w:p>
    <w:p w:rsidR="00CA56C1" w:rsidRPr="00CA56C1" w:rsidRDefault="00CA56C1" w:rsidP="00CA56C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Повышение точности прогнозов. Снижение MAPE по ключевым операционным показателям с 9-10% до 5-7% в течение 2-3 лет.</w:t>
      </w:r>
    </w:p>
    <w:p w:rsidR="00CA56C1" w:rsidRPr="00CA56C1" w:rsidRDefault="00CA56C1" w:rsidP="00CA56C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Укрепление ликвидности. Сокращение вероятности и величины кассовых разрывов за счет прогнозного управления денежными потоками.</w:t>
      </w:r>
    </w:p>
    <w:p w:rsidR="00CA56C1" w:rsidRPr="00CA56C1" w:rsidRDefault="00CA56C1" w:rsidP="00CA56C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Рост финансовой эффективности. Достижение плановых показателей чистой прибыли и рентабельности за счет оптимизации затрат, выявленной через углубленный анализ, и более эффективного управления инвестициями.</w:t>
      </w:r>
    </w:p>
    <w:p w:rsidR="00CA56C1" w:rsidRPr="00CA56C1" w:rsidRDefault="00CA56C1" w:rsidP="00CA56C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Повышение управленческой гибкости. Сокращение цикла принятия корректирующих решений с месяцев до недель благодаря автоматизированным системам контроля и регулярной работе бюджетного комитета.</w:t>
      </w:r>
    </w:p>
    <w:p w:rsidR="00CA56C1" w:rsidRPr="00CA56C1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CA56C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Реализация предложенных рекомендаций позволит достичь существенного повышения эффективности бюджетного планирования в ОАО "РЖД". </w:t>
      </w:r>
    </w:p>
    <w:p w:rsidR="00CA56C1" w:rsidRPr="006779B6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CA56C1" w:rsidRPr="006779B6" w:rsidRDefault="00CA56C1" w:rsidP="00CA5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CA56C1" w:rsidRDefault="00CA56C1" w:rsidP="00CA56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Список литературы</w:t>
      </w:r>
    </w:p>
    <w:p w:rsidR="00CA56C1" w:rsidRDefault="00CA56C1" w:rsidP="00CA56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CA56C1" w:rsidRPr="00B22B69" w:rsidRDefault="00875B89" w:rsidP="00875B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Прохорова, В. В. Методы исследований в управлении</w:t>
      </w:r>
      <w:proofErr w:type="gramStart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:</w:t>
      </w:r>
      <w:proofErr w:type="gramEnd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учебное пособие / В. В. Прохорова, Ж. А. Шадрина, Г. А. </w:t>
      </w:r>
      <w:proofErr w:type="spellStart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Кочьян</w:t>
      </w:r>
      <w:proofErr w:type="spellEnd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 — Краснодар</w:t>
      </w:r>
      <w:proofErr w:type="gramStart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:</w:t>
      </w:r>
      <w:proofErr w:type="gramEnd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</w:t>
      </w:r>
      <w:proofErr w:type="spellStart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КубГТУ</w:t>
      </w:r>
      <w:proofErr w:type="spellEnd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, 2023. — 199 с.</w:t>
      </w:r>
    </w:p>
    <w:p w:rsidR="00875B89" w:rsidRDefault="00875B89" w:rsidP="00875B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Баланов, А. Н. Автоматизация, </w:t>
      </w:r>
      <w:proofErr w:type="spellStart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цифровизация</w:t>
      </w:r>
      <w:proofErr w:type="spellEnd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и оптимизация бизнес-процессов: IT-решения и стратегии для современных компаний</w:t>
      </w:r>
      <w:proofErr w:type="gramStart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:</w:t>
      </w:r>
      <w:proofErr w:type="gramEnd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учебное пособие для вузов / А. Н. Баланов. — 2-е изд., стер. — Санкт-Петербург</w:t>
      </w:r>
      <w:proofErr w:type="gramStart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:</w:t>
      </w:r>
      <w:proofErr w:type="gramEnd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Лань, 2025. — 172 </w:t>
      </w:r>
      <w:proofErr w:type="gramStart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с</w:t>
      </w:r>
      <w:proofErr w:type="gramEnd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.</w:t>
      </w:r>
      <w:r w:rsidRPr="00875B89">
        <w:t xml:space="preserve"> </w:t>
      </w:r>
    </w:p>
    <w:p w:rsidR="00875B89" w:rsidRPr="00875B89" w:rsidRDefault="00875B89" w:rsidP="00875B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Официальный сайт компании ОАО «РЖД» [Электронный ресурс] – Режим доступа: https://company.rzd.ru/</w:t>
      </w:r>
    </w:p>
    <w:p w:rsidR="00875B89" w:rsidRPr="00875B89" w:rsidRDefault="00875B89" w:rsidP="00875B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Единый корпоративный стандарт финансового планирования и</w:t>
      </w:r>
    </w:p>
    <w:p w:rsidR="00875B89" w:rsidRPr="00875B89" w:rsidRDefault="00875B89" w:rsidP="00875B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proofErr w:type="spellStart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бюджетирования</w:t>
      </w:r>
      <w:proofErr w:type="spellEnd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холдинга «РЖД»: Распоряжение ОАО «РЖД» №2182р </w:t>
      </w:r>
      <w:proofErr w:type="gramStart"/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от</w:t>
      </w:r>
      <w:proofErr w:type="gramEnd"/>
    </w:p>
    <w:p w:rsidR="00CA56C1" w:rsidRDefault="00875B89" w:rsidP="00875B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875B8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31.10.2012г. [Электронный ресурс]. – Режим доступа: https://www.consultant.ru/cons/cgi/online.cgi?req=doc&amp;base=EXP&amp;n=556841#pJRvb4VeaqxfyxHA2</w:t>
      </w:r>
    </w:p>
    <w:p w:rsidR="00875B89" w:rsidRPr="00B22B69" w:rsidRDefault="00875B89" w:rsidP="00875B8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CA56C1" w:rsidRPr="00B22B69" w:rsidRDefault="00CA56C1" w:rsidP="00CA56C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</w:p>
    <w:p w:rsidR="00AF2840" w:rsidRDefault="00AF2840"/>
    <w:sectPr w:rsidR="00AF2840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FB0147"/>
    <w:multiLevelType w:val="hybridMultilevel"/>
    <w:tmpl w:val="71DA45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840"/>
    <w:rsid w:val="00875B89"/>
    <w:rsid w:val="00AF2840"/>
    <w:rsid w:val="00CA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C1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6C1"/>
    <w:rPr>
      <w:rFonts w:ascii="Tahoma" w:hAnsi="Tahoma" w:cs="Tahoma"/>
      <w:kern w:val="2"/>
      <w:sz w:val="16"/>
      <w:szCs w:val="16"/>
    </w:rPr>
  </w:style>
  <w:style w:type="paragraph" w:styleId="a5">
    <w:name w:val="List Paragraph"/>
    <w:basedOn w:val="a"/>
    <w:uiPriority w:val="34"/>
    <w:qFormat/>
    <w:rsid w:val="00CA56C1"/>
    <w:pPr>
      <w:ind w:left="720"/>
      <w:contextualSpacing/>
    </w:pPr>
  </w:style>
  <w:style w:type="character" w:customStyle="1" w:styleId="mord">
    <w:name w:val="mord"/>
    <w:basedOn w:val="a0"/>
    <w:rsid w:val="00875B89"/>
  </w:style>
  <w:style w:type="character" w:customStyle="1" w:styleId="mrel">
    <w:name w:val="mrel"/>
    <w:basedOn w:val="a0"/>
    <w:rsid w:val="00875B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1217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salovavd</dc:creator>
  <cp:keywords/>
  <dc:description/>
  <cp:lastModifiedBy>salovavd</cp:lastModifiedBy>
  <cp:revision>3</cp:revision>
  <dcterms:created xsi:type="dcterms:W3CDTF">2026-04-06T09:22:00Z</dcterms:created>
  <dcterms:modified xsi:type="dcterms:W3CDTF">2026-04-06T09:53:00Z</dcterms:modified>
</cp:coreProperties>
</file>