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476A9">
      <w:pPr>
        <w:spacing w:line="240" w:lineRule="auto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  <w:t>Региональная экономика России: выход на границу производственных возможностей или временное торможение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 при муниципальной реформы РФ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  <w:t>?</w:t>
      </w:r>
    </w:p>
    <w:p w14:paraId="33365991">
      <w:pPr>
        <w:spacing w:line="240" w:lineRule="auto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Аксёнова Анастасия Максимовна </w:t>
      </w:r>
    </w:p>
    <w:p w14:paraId="1190DECB">
      <w:pPr>
        <w:spacing w:line="240" w:lineRule="auto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Студент</w:t>
      </w:r>
    </w:p>
    <w:p w14:paraId="394479F2">
      <w:pPr>
        <w:spacing w:line="240" w:lineRule="auto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Лапин Анатолий Евгеньевич </w:t>
      </w:r>
    </w:p>
    <w:p w14:paraId="01470F59">
      <w:pPr>
        <w:spacing w:line="240" w:lineRule="auto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olor w:val="000000"/>
          <w:spacing w:val="0"/>
          <w:sz w:val="24"/>
          <w:szCs w:val="24"/>
          <w:lang w:val="ru-RU"/>
        </w:rPr>
        <w:t>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аучный руководитель, профессор зав.кафедрой ЭАиГУ</w:t>
      </w:r>
    </w:p>
    <w:p w14:paraId="77B0F237">
      <w:pPr>
        <w:spacing w:line="240" w:lineRule="auto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Бизнес - факультет </w:t>
      </w:r>
    </w:p>
    <w:p w14:paraId="195EAA5E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5BBA42F9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Ключевые слова: экономика, региональная экономика, государственная политика, социально-экономическое развитие региона, экономический цикл, инфляция, безработица, макроэкономические показатели.</w:t>
      </w:r>
    </w:p>
    <w:p w14:paraId="31CE11ED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6164C5BB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ab/>
        <w:t xml:space="preserve">Современная Россия пережила очень много экономических взлётов и падений, но как можно заметить - всегда старается держаться на плаву. Конечно, за счёт трансформации экономики регионов в Российской Федерации стоит вопрос о том, находится ли экономика на вершине своих производственных возможностей, которые приближаются к пределу роста, или же переживает очередной этап замедления. Как можно заметить, что региональная экономика в последние годы пытается развиваться, а не стоять на месте в условиях структурных ограничений, санкционного давления и трансформации внешнеэкономических связей. На начало 2026 года динамика экономического развития показала резкий спад, можно ли сказать о том, что это является ключевым этапом замедления для текущего состояния и прогнозирования будущего развития страны и регионов. </w:t>
      </w:r>
    </w:p>
    <w:p w14:paraId="41B27F02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ab/>
        <w:t>Для того, чтобы понять на каком этапе экономического развития находится Российская Федерация, нужно разобраться с границами производственных возможностей (ППВ) - это максимальный объём производства при полном использовании ресурсов. Если экономика испытывает дефицит труда, работает при высокой загрузке мощностей, сталкивается с  ростом инфляции, то она приближается к ППВ, но если в старне происходят такие процессы, как спад спроса, сокращаются инвестиции, замедляется рост ВВП, то это абсолютные признаки циклического спада.</w:t>
      </w:r>
    </w:p>
    <w:p w14:paraId="58821393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ab/>
        <w:t>Рассмотрим динамику макроэкономических показателей РФ (2015-2025г) (рис.1)</w:t>
      </w:r>
    </w:p>
    <w:p w14:paraId="6BCEC9D8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drawing>
          <wp:inline distT="0" distB="0" distL="114300" distR="114300">
            <wp:extent cx="5904230" cy="3117215"/>
            <wp:effectExtent l="4445" t="4445" r="19685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5EEB685">
      <w:pPr>
        <w:spacing w:line="240" w:lineRule="auto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Рис.1 Динамика макроэкономических показателей за 10 лет </w:t>
      </w:r>
    </w:p>
    <w:p w14:paraId="2AF45032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0E17E7D2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ab/>
        <w:t xml:space="preserve">На рис. 1 наблюдается волнообразная динамика с резким замедлением экономики в 2025 году на 0,7 - 1,4%. </w:t>
      </w:r>
    </w:p>
    <w:p w14:paraId="3F92F7A4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ab/>
        <w:t>Рассмотрим инфляцию в РФ(рис.2)</w:t>
      </w:r>
    </w:p>
    <w:p w14:paraId="55F27209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drawing>
          <wp:inline distT="0" distB="0" distL="114300" distR="114300">
            <wp:extent cx="5972810" cy="2995930"/>
            <wp:effectExtent l="4445" t="4445" r="12065" b="1714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917FBEC">
      <w:pPr>
        <w:spacing w:line="240" w:lineRule="auto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Рис.2 Динамика инфляции в РФ за 10 лет </w:t>
      </w:r>
    </w:p>
    <w:p w14:paraId="0FA02496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ab/>
        <w:t>На рис.2 наблюдается волнообразная динамика инфляции.</w:t>
      </w:r>
    </w:p>
    <w:p w14:paraId="5B8377CA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ab/>
        <w:t>Рассмотрим процентное соотношение уровни безработицы в РФ (рис.3)</w:t>
      </w:r>
    </w:p>
    <w:p w14:paraId="0E86BD84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drawing>
          <wp:inline distT="0" distB="0" distL="114300" distR="114300">
            <wp:extent cx="6017895" cy="3255010"/>
            <wp:effectExtent l="4445" t="4445" r="12700" b="171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51F6136">
      <w:pPr>
        <w:spacing w:line="240" w:lineRule="auto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Рис.3 Безработица в РФ за 10 лет </w:t>
      </w:r>
    </w:p>
    <w:p w14:paraId="158FB9E3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ab/>
        <w:t xml:space="preserve">На рис.3 наблюдается практически полная занятость, что отображает ключевой аргумент в пользу приближения к ППВ. Вершина безработица приходится на 2020 год, это связазно с короновирусом. Минимальный процент безработицы приходится на 2025 год, что составляет 2,1%-2,2%. </w:t>
      </w:r>
    </w:p>
    <w:p w14:paraId="4B919E4E">
      <w:pPr>
        <w:spacing w:line="240" w:lineRule="auto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***</w:t>
      </w:r>
    </w:p>
    <w:p w14:paraId="5F1FF881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ab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Проведённое исследование показало, что Российская экономика частично достигнута, границы производственных возможностей, но а также одновременно с этим демонстрирует циклическое замедление. Следовательно, текущее состояние региональной экономики показывает структурное ограничение и временное торможение. Региональная экономика России в 2025 году столкнулась с замедлением роста экономики при низкой безработице и высокой инфляции. Для дальнейшего прогнозирования роста региональной экономики необходимо: 1) технологическое совершенствование и модернизация экономической структуры; 2) рост производительности труда; 3) развитие региональной политики. </w:t>
      </w:r>
    </w:p>
    <w:p w14:paraId="290D0259">
      <w:pPr>
        <w:spacing w:line="240" w:lineRule="auto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p w14:paraId="0DE070B5">
      <w:pPr>
        <w:spacing w:line="240" w:lineRule="auto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Список литературы. </w:t>
      </w:r>
    </w:p>
    <w:p w14:paraId="11942355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1) Гранберг А.Г. Основы региональной экономики. – М: ГУ (НИУ) ВШЭ, начиная с 2000 года;</w:t>
      </w:r>
    </w:p>
    <w:p w14:paraId="6EB21FED">
      <w:pPr>
        <w:ind w:left="284" w:hanging="284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2) Игнатов В.Г., Бутов В.И. Регионоведение: учебное пособие. – Ростов-на-Дону: Издательский центр «МарТ», 2013.</w:t>
      </w:r>
    </w:p>
    <w:p w14:paraId="648E20EC">
      <w:pPr>
        <w:ind w:left="284" w:hanging="284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3) Андреев А.В., Борисова Л.М., Плучевская Э.В. Основы региональной экономики: учебное пособие. – М: КНОРУС, 20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8.</w:t>
      </w:r>
    </w:p>
    <w:p w14:paraId="72F5EFAC">
      <w:pPr>
        <w:ind w:left="284" w:hanging="284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4) Шапкин И.Н., Блинов А.О., Кестер Я.М. Управление региональным хозяйством: учебное пособие. – М: КНОРУС, 20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9.</w:t>
      </w:r>
    </w:p>
    <w:p w14:paraId="696A24EA">
      <w:pPr>
        <w:ind w:left="284" w:hanging="284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5) Гаврилов А.И. Региональная экономика и управление: учебное пособие. – М: ЮНИТИ-ДАНА, 2002.</w:t>
      </w:r>
    </w:p>
    <w:p w14:paraId="20B886D6">
      <w:pPr>
        <w:ind w:left="284" w:hanging="284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6) Гутман Г.В., Мироедов А.А., Федин С.В. Управление региональной экономикой. – М: Финансы и статистика, 20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2.</w:t>
      </w:r>
    </w:p>
    <w:p w14:paraId="1F705ACD">
      <w:pPr>
        <w:ind w:left="284" w:hanging="284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7) Региональная экономика: учебник / под ред. Т.Г. Морозовой. – М: ЮНИТИ-ДАНА, 2003.</w:t>
      </w:r>
    </w:p>
    <w:p w14:paraId="741EE295">
      <w:pPr>
        <w:ind w:left="284" w:hanging="284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8) Орешин В.П., Потапов Л.В. Управление региональной экономикой: учебное пособие. – М: ТЕИС, 2003.</w:t>
      </w:r>
    </w:p>
    <w:p w14:paraId="3E88A3FC">
      <w:pPr>
        <w:ind w:left="284" w:hanging="284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9) Региональная экономика: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учебник / под ред. В.И. Видяпин, М.В. Степанова. – М: ИНФРА-М, 2002.</w:t>
      </w:r>
    </w:p>
    <w:p w14:paraId="42B588F9">
      <w:pPr>
        <w:spacing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83AFC"/>
    <w:rsid w:val="7EC8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Ряды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Sheet1!$B$2:$B$12</c:f>
              <c:numCache>
                <c:formatCode>0.00%</c:formatCode>
                <c:ptCount val="11"/>
                <c:pt idx="0">
                  <c:v>-0.02</c:v>
                </c:pt>
                <c:pt idx="1">
                  <c:v>0.002</c:v>
                </c:pt>
                <c:pt idx="2">
                  <c:v>0.018</c:v>
                </c:pt>
                <c:pt idx="3">
                  <c:v>0.028</c:v>
                </c:pt>
                <c:pt idx="4">
                  <c:v>0.022</c:v>
                </c:pt>
                <c:pt idx="5">
                  <c:v>-0.027</c:v>
                </c:pt>
                <c:pt idx="6">
                  <c:v>0.059</c:v>
                </c:pt>
                <c:pt idx="7">
                  <c:v>-0.012</c:v>
                </c:pt>
                <c:pt idx="8">
                  <c:v>0.041</c:v>
                </c:pt>
                <c:pt idx="9">
                  <c:v>0.043</c:v>
                </c:pt>
                <c:pt idx="10">
                  <c:v>0.007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445309680"/>
        <c:axId val="785542241"/>
      </c:barChart>
      <c:catAx>
        <c:axId val="44530968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785542241"/>
        <c:crosses val="autoZero"/>
        <c:auto val="1"/>
        <c:lblAlgn val="ctr"/>
        <c:lblOffset val="100"/>
        <c:noMultiLvlLbl val="0"/>
      </c:catAx>
      <c:valAx>
        <c:axId val="78554224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45309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1400" b="1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Инфляция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2015</c:v>
                </c:pt>
                <c:pt idx="1">
                  <c:v>2017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2025</c:v>
                </c:pt>
              </c:numCache>
            </c:numRef>
          </c:cat>
          <c:val>
            <c:numRef>
              <c:f>Sheet1!$B$2:$B$7</c:f>
              <c:numCache>
                <c:formatCode>0.00%</c:formatCode>
                <c:ptCount val="6"/>
                <c:pt idx="0">
                  <c:v>0.129</c:v>
                </c:pt>
                <c:pt idx="1">
                  <c:v>0.025</c:v>
                </c:pt>
                <c:pt idx="2">
                  <c:v>0.084</c:v>
                </c:pt>
                <c:pt idx="3">
                  <c:v>0.119</c:v>
                </c:pt>
                <c:pt idx="4">
                  <c:v>0.074</c:v>
                </c:pt>
                <c:pt idx="5" c:formatCode="0%">
                  <c:v>0.07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406443309"/>
        <c:axId val="969906976"/>
      </c:barChart>
      <c:catAx>
        <c:axId val="40644330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969906976"/>
        <c:crosses val="autoZero"/>
        <c:auto val="1"/>
        <c:lblAlgn val="ctr"/>
        <c:lblOffset val="100"/>
        <c:noMultiLvlLbl val="0"/>
      </c:catAx>
      <c:valAx>
        <c:axId val="96990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40644330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1c881ea-cab8-47cb-a7d0-5d54947ff51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12736097921283"/>
          <c:y val="0.0234100663285213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1400" b="1" i="0" u="none" strike="noStrike" kern="1200" baseline="0">
              <a:solidFill>
                <a:sysClr val="windowText" lastClr="000000"/>
              </a:solidFill>
              <a:latin typeface="Times New Roman" panose="02020603050405020304" charset="0"/>
              <a:ea typeface="Times New Roman" panose="02020603050405020304" charset="0"/>
              <a:cs typeface="Times New Roman" panose="02020603050405020304" charset="0"/>
              <a:sym typeface="Times New Roman" panose="02020603050405020304" charset="0"/>
            </a:defRPr>
          </a:pPr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Безработица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2020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Sheet1!$B$2:$B$6</c:f>
              <c:numCache>
                <c:formatCode>0.00%</c:formatCode>
                <c:ptCount val="5"/>
                <c:pt idx="0">
                  <c:v>0.066</c:v>
                </c:pt>
                <c:pt idx="1">
                  <c:v>0.078</c:v>
                </c:pt>
                <c:pt idx="2">
                  <c:v>0.042</c:v>
                </c:pt>
                <c:pt idx="3">
                  <c:v>0.026</c:v>
                </c:pt>
                <c:pt idx="4">
                  <c:v>0.021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181981164"/>
        <c:axId val="576821235"/>
      </c:barChart>
      <c:catAx>
        <c:axId val="1819811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76821235"/>
        <c:crosses val="autoZero"/>
        <c:auto val="1"/>
        <c:lblAlgn val="ctr"/>
        <c:lblOffset val="100"/>
        <c:noMultiLvlLbl val="0"/>
      </c:catAx>
      <c:valAx>
        <c:axId val="5768212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1819811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2026-04-05T18:38:00Z</dcterms:created>
  <dc:creator>WPS_1706418241</dc:creator>
  <cp:lastModifiedBy>WPS_1706418241</cp:lastModifiedBy>
  <dcterms:modified xsi:type="dcterms:W3CDTF">2026-04-05T20:11:09Z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61E3398BC08F4E2C89A3904127B25AC8_11</vt:lpwstr>
  </property>
</Properties>
</file>