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2F3E" w14:textId="77777777" w:rsidR="002A4ADE" w:rsidRPr="000E44A4" w:rsidRDefault="002A4ADE" w:rsidP="007210A2">
      <w:pPr>
        <w:jc w:val="center"/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</w:rPr>
        <w:t>П</w:t>
      </w:r>
      <w:r w:rsidRPr="000E44A4">
        <w:rPr>
          <w:rFonts w:ascii="Times New Roman" w:hAnsi="Times New Roman" w:cs="Times New Roman"/>
          <w:lang w:val="en-US"/>
        </w:rPr>
        <w:t>роблемы наследования цифровых активов: от игровых предметов до криптокошельков</w:t>
      </w:r>
    </w:p>
    <w:p w14:paraId="1EAE4886" w14:textId="4D578A08" w:rsidR="002A4ADE" w:rsidRPr="000E44A4" w:rsidRDefault="002A4ADE" w:rsidP="0004751A">
      <w:pPr>
        <w:jc w:val="center"/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 xml:space="preserve">Кожевников </w:t>
      </w:r>
      <w:r w:rsidR="001110FA" w:rsidRPr="000E44A4">
        <w:rPr>
          <w:rFonts w:ascii="Times New Roman" w:hAnsi="Times New Roman" w:cs="Times New Roman"/>
          <w:lang w:val="en-US"/>
        </w:rPr>
        <w:t>Камиль Денисович</w:t>
      </w:r>
    </w:p>
    <w:p w14:paraId="1F20FED8" w14:textId="77777777" w:rsidR="002A4ADE" w:rsidRPr="000E44A4" w:rsidRDefault="002A4ADE" w:rsidP="0004751A">
      <w:pPr>
        <w:jc w:val="center"/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Студент</w:t>
      </w:r>
    </w:p>
    <w:p w14:paraId="4FDD66DB" w14:textId="430329A3" w:rsidR="002A4ADE" w:rsidRPr="000E44A4" w:rsidRDefault="002A4ADE" w:rsidP="0004751A">
      <w:pPr>
        <w:jc w:val="center"/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 xml:space="preserve">Боровинская </w:t>
      </w:r>
      <w:r w:rsidR="002B3EB0" w:rsidRPr="000E44A4">
        <w:rPr>
          <w:rFonts w:ascii="Times New Roman" w:hAnsi="Times New Roman" w:cs="Times New Roman"/>
          <w:lang w:val="en-US"/>
        </w:rPr>
        <w:t>Нина Анатольевна</w:t>
      </w:r>
    </w:p>
    <w:p w14:paraId="7BBFB6D9" w14:textId="77777777" w:rsidR="002A4ADE" w:rsidRPr="000E44A4" w:rsidRDefault="002A4ADE" w:rsidP="0004751A">
      <w:pPr>
        <w:jc w:val="center"/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Научный руководитель, к.ю.н, доцент</w:t>
      </w:r>
    </w:p>
    <w:p w14:paraId="04D69421" w14:textId="46CEA3A3" w:rsidR="002A4ADE" w:rsidRPr="00EB7F50" w:rsidRDefault="002A4ADE" w:rsidP="0004751A">
      <w:pPr>
        <w:jc w:val="center"/>
        <w:rPr>
          <w:rFonts w:ascii="Times New Roman" w:hAnsi="Times New Roman" w:cs="Times New Roman"/>
        </w:rPr>
      </w:pPr>
      <w:r w:rsidRPr="000E44A4">
        <w:rPr>
          <w:rFonts w:ascii="Times New Roman" w:hAnsi="Times New Roman" w:cs="Times New Roman"/>
          <w:lang w:val="en-US"/>
        </w:rPr>
        <w:t>Юридический факультет</w:t>
      </w:r>
    </w:p>
    <w:p w14:paraId="36FD5BAE" w14:textId="264B8E17" w:rsidR="002A4ADE" w:rsidRPr="000E44A4" w:rsidRDefault="002A4ADE" w:rsidP="0004751A">
      <w:pPr>
        <w:jc w:val="center"/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Ключевые слова: цифровые активы, наследование, криптовалюта, игровые предметы, цифровое наследство, криптокошелек.</w:t>
      </w:r>
    </w:p>
    <w:p w14:paraId="30B2E3B3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</w:p>
    <w:p w14:paraId="59D61A6D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Статья посвящена исследованию феномена трансформации наследственной массы в условиях цифровизации экономики и социальных отношений. Автор констатирует наличие системного противоречия между фактической концентрацией значительных имущественных ценностей в цифровой среде (криптовалюта, игровые активы, цифровые финансовые активы) и отсутствием в российском гражданском праве эффективных механизмов их включения в наследственную массу. Целью исследования является комплексный анализ правовой природы цифровых активов как объектов наследственного правопреемства, выявление процессуальных и технических барьеров, а также формулирование предложений по совершенствованию законодательства. В работе обосновывается вывод о необходимости перехода от вещно-правовой концепции наследования к концепции наследования прав доступа.</w:t>
      </w:r>
    </w:p>
    <w:p w14:paraId="05C09D9F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</w:p>
    <w:p w14:paraId="496B7DF4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Второе десятилетие XXI века характеризуется стремительным ростом капитализации рынка криптоактивов и виртуального имущества. Для значительной части граждан внутриигровые предметы, аккаунты в социальных сетях и криптовалютные кошельки превратились в основную часть личного имущества. Основное противоречие заключается в разрыве между фактической экономической ценностью цифровых активов и юридической невозможностью их включения в наследственную массу. Ключевыми препятствиями выступают: отсутствие легального определения цифрового имущества как объекта наследования, анонимность владения криптоактивами, противоречие между условиями пользовательских соглашений (EULA) и наследственными правами, а также отсутствие процессуального механизма доступа наследников к закрытым информационным системам умершего [1, 2].</w:t>
      </w:r>
    </w:p>
    <w:p w14:paraId="3BCBE563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</w:p>
    <w:p w14:paraId="182BE873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Для понимания этой проблемы необходимо определить правовую природу цифровых активов как объектов наследственного правопреемства. В соответствии со ст. 1112 ГК РФ в состав наследства входят принадлежавшие наследодателю вещи, иное имущество, в том числе имущественные права и обязанности. Анализ ст. 128 ГК РФ позволяет сделать вывод о формальной открытости перечня. Однако цифровые активы обладают спецификой, требующей их классификации. С учетом положений Федерального закона от 31.07.2020 № 259-ФЗ «О цифровых финансовых активах, цифровой валюте…» цифровое наследие можно классифицировать следующим образом: цифровые финансовые активы и цифровая валюта; информационные активы (аккаунты в соцсетях, почтовые ящики); виртуальное игровое имущество [2, 4]. Анализ судебной практики (например, Апелляционное определение Московского городского суда от 12.07.2018 № 33-32228/2018) позволяет утверждать, что внутриигровые предметы, имеющие ликвидность и рыночную стоимость, фактически признаются имуществом [8].</w:t>
      </w:r>
    </w:p>
    <w:p w14:paraId="67814350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</w:p>
    <w:p w14:paraId="65005576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Особые сложности возникают при наследовании криптовалют и цифровых финансовых активов. Нотариус не имеет легальной возможности получить выписку из реестра. Криптовалюта децентрализована, и факт владения ею подтверждается лишь наличием приватного ключа. При утрате ключа наступает эффект «цифрового забвения» — актив становится недоступным навсегда, что противоречит принципу универсального правопреемства [1, 4]. Еще более сложная ситуация складывается с наследованием виртуального имущества в онлайн-играх. Анализ пользовательских соглашений (EULA) крупнейших разработчиков показывает, что они настаивают на лицензионном характере владения аккаунтом. Однако экономическая реальность свидетельствует об обратном. Например, в игре CS2 стоимость скина АК-47 «Blue Gem» достигает от 1 до 1,5 млн долларов США, в Entropia Universe зафиксирована продажа виртуальной недвижимости за 6 млн долларов США, что подтверждает оборотоспособность и имущественную ценность данных активов [7].</w:t>
      </w:r>
    </w:p>
    <w:p w14:paraId="58DB844E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</w:p>
    <w:p w14:paraId="786F8883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Помимо материально-правовых вопросов, существуют процессуальные и технические барьеры: проблема «цифровых ключей», отсутствие процедуры «осмотра» информационных систем нотариусом, конфликт между тайной частной жизни и правами наследников, а также отсутствие методики оценки цифровых активов [1, 3]. В свете этих проблем интересен зарубежный опыт. В Германии Федеральный верховный суд в 2018 году признал, что аккаунт в соцсети входит в состав наследства [6]. В США принят Единообразный закон о доступе фидуциарных лиц к цифровым активам (RUFADAA), устанавливающий иерархию источников воли пользователя [9]. В странах ЕС дополнительным барьером выступает GDPR, создающий напряжение между правом наследников и правом на конфиденциальность умершего [10].</w:t>
      </w:r>
    </w:p>
    <w:p w14:paraId="69D5042C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</w:p>
    <w:p w14:paraId="2C0DEC1E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Анализ зарубежного опыта позволяет сформулировать предложения по совершенствованию российского законодательства: введение института «цифрового душеприказчика»; установление публично-правовой обязанности провайдеров предоставлять наследникам доступ к аккаунтам; создание в единой информационной системе нотариата закрытого реестра «цифровых распоряжений»; легализация «цифрового завещания» с использованием УКЭП; признание ничтожными условий пользовательских соглашений, запрещающих переход аккаунта в порядке наследования, как противоречащих ст. 168 и ст. 1112 ГК РФ [1, 2, 4].</w:t>
      </w:r>
    </w:p>
    <w:p w14:paraId="2D281676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</w:p>
    <w:p w14:paraId="75F2855B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Проведенное исследование позволяет сделать вывод о необходимости перехода от концепции «имущества как вещи» к концепции «имущества как права доступа». Стоимость наиболее ликвидных игровых активов достигает сотен миллионов рублей, что сопоставимо со стоимостью традиционных объектов наследственной массы. Игнорирование этого факта приводит к нарушению конституционных гарантий собственности (ст. 35 Конституции РФ). Предложенный переход от вещно-правовой концепции к концепции наследования прав доступа, усиленный механизмом «цифрового душеприказчика» и императивным приоритетом наследственных прав над условиями EULA, позволит обеспечить полноту правопреемства и ликвидировать существующий правовой вакуум в сфере наследования цифровых активов.</w:t>
      </w:r>
    </w:p>
    <w:p w14:paraId="73F2E1C0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</w:p>
    <w:p w14:paraId="47CB7FF4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Список литературы</w:t>
      </w:r>
    </w:p>
    <w:p w14:paraId="64F8A18F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</w:p>
    <w:p w14:paraId="315AD6B3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1. Гражданский кодекс Российской Федерации (часть третья) от 26.11.2001 № 146-ФЗ // Собрание законодательства РФ. 2001. № 49. Ст. 4552.</w:t>
      </w:r>
    </w:p>
    <w:p w14:paraId="04EB4C26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2. Федеральный закон от 31.07.2020 № 259-ФЗ «О цифровых финансовых активах, цифровой валюте и о внесении изменений в отдельные законодательные акты Российской Федерации» // Собрание законодательства РФ. 2020. № 31. Ст. 5018.</w:t>
      </w:r>
    </w:p>
    <w:p w14:paraId="51D50D58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3. Постановление Пленума Верховного Суда РФ от 29.05.2012 № 9 «О судебной практике по делам о наследовании» // Бюллетень Верховного Суда РФ. 2012. № 7.</w:t>
      </w:r>
    </w:p>
    <w:p w14:paraId="756DC401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4. Михеева Л.Ю. Наследование цифровых активов: проблемы и перспективы // Вестник гражданского права. 2021. № 4. С. 12-34.</w:t>
      </w:r>
    </w:p>
    <w:p w14:paraId="0F054ECE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5. Савельев А.И. Правовая природа виртуальных объектов, приобретаемых в онлайн-играх // Вестник гражданского права. 2014. № 1. С. 127-150.</w:t>
      </w:r>
    </w:p>
    <w:p w14:paraId="59ACF2A7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6. BGH, Urteil vom 12.07.2018 – III ZR 183/17 (Digitaler Nachlass).</w:t>
      </w:r>
    </w:p>
    <w:p w14:paraId="5AE5C4E3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7. Аналитический отчет State of CS:GO Economy 2023-2024. Skinport / Buff.market.</w:t>
      </w:r>
    </w:p>
    <w:p w14:paraId="3BBF1899" w14:textId="77777777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8. Апелляционное определение Судебной коллегии по гражданским делам Московского городского суда от 12.07.2018 № 33-32228/2018.</w:t>
      </w:r>
    </w:p>
    <w:p w14:paraId="2D1F8125" w14:textId="52EE53BD" w:rsidR="002A4ADE" w:rsidRPr="000E44A4" w:rsidRDefault="002A4ADE">
      <w:pPr>
        <w:rPr>
          <w:rFonts w:ascii="Times New Roman" w:hAnsi="Times New Roman" w:cs="Times New Roman"/>
          <w:lang w:val="en-US"/>
        </w:rPr>
      </w:pPr>
      <w:r w:rsidRPr="000E44A4">
        <w:rPr>
          <w:rFonts w:ascii="Times New Roman" w:hAnsi="Times New Roman" w:cs="Times New Roman"/>
          <w:lang w:val="en-US"/>
        </w:rPr>
        <w:t>9. Revised Uniform Fiduciary Access to Digital Assets Act (RUFADAA) // Uniform Law Commission. URL: https://www.uniformlaws.org (дата обращения: 06.04.2026).</w:t>
      </w:r>
    </w:p>
    <w:p w14:paraId="2CAA40EF" w14:textId="77777777" w:rsidR="002A4ADE" w:rsidRPr="000E44A4" w:rsidRDefault="002A4ADE">
      <w:pPr>
        <w:rPr>
          <w:rFonts w:ascii="Times New Roman" w:hAnsi="Times New Roman" w:cs="Times New Roman"/>
        </w:rPr>
      </w:pPr>
      <w:r w:rsidRPr="000E44A4">
        <w:rPr>
          <w:rFonts w:ascii="Times New Roman" w:hAnsi="Times New Roman" w:cs="Times New Roman"/>
          <w:lang w:val="en-US"/>
        </w:rPr>
        <w:t>10. Regulation (EU) 2016/679 of the European Parliament and of the Council of 27 April 2016 (General Data Protection Regulation) // Official Journal of the European Union. L 119. 04.05.2016. P. 1-88.</w:t>
      </w:r>
    </w:p>
    <w:sectPr w:rsidR="002A4ADE" w:rsidRPr="000E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DE"/>
    <w:rsid w:val="0004751A"/>
    <w:rsid w:val="000E44A4"/>
    <w:rsid w:val="001110FA"/>
    <w:rsid w:val="0011375F"/>
    <w:rsid w:val="001C0742"/>
    <w:rsid w:val="001C38C2"/>
    <w:rsid w:val="002A4ADE"/>
    <w:rsid w:val="002B3EB0"/>
    <w:rsid w:val="002E70A6"/>
    <w:rsid w:val="003967E9"/>
    <w:rsid w:val="006179AB"/>
    <w:rsid w:val="007210A2"/>
    <w:rsid w:val="00840F76"/>
    <w:rsid w:val="00C23262"/>
    <w:rsid w:val="00CB3600"/>
    <w:rsid w:val="00CB53DE"/>
    <w:rsid w:val="00EB7F50"/>
    <w:rsid w:val="00F6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881696"/>
  <w15:chartTrackingRefBased/>
  <w15:docId w15:val="{EDA7771F-883B-114B-9242-5BDEFA2C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A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A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A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A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A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A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A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A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A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A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4AD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4AD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A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6543</Characters>
  <Application>Microsoft Office Word</Application>
  <DocSecurity>0</DocSecurity>
  <Lines>114</Lines>
  <Paragraphs>28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Takamatsu Yoshi</dc:creator>
  <cp:keywords/>
  <dc:description/>
  <cp:lastModifiedBy>Takamatsu Yoshi</cp:lastModifiedBy>
  <cp:revision>2</cp:revision>
  <dcterms:created xsi:type="dcterms:W3CDTF">2026-04-06T18:06:00Z</dcterms:created>
  <dcterms:modified xsi:type="dcterms:W3CDTF">2026-04-06T18:06:00Z</dcterms:modified>
</cp:coreProperties>
</file>