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0" w:line="259" w:lineRule="auto"/>
        <w:ind w:firstLine="0" w:right="10"/>
        <w:jc w:val="center"/>
      </w:pPr>
      <w:r>
        <w:rPr>
          <w:b w:val="1"/>
          <w:sz w:val="24"/>
        </w:rPr>
        <w:t xml:space="preserve">"Междисциплинарный подход к проблеме дисфункции </w:t>
      </w:r>
      <w:r>
        <w:rPr>
          <w:b w:val="1"/>
          <w:sz w:val="24"/>
        </w:rPr>
        <w:t>в</w:t>
      </w:r>
      <w:r>
        <w:rPr>
          <w:b w:val="1"/>
          <w:sz w:val="24"/>
        </w:rPr>
        <w:t>исочн</w:t>
      </w:r>
      <w:r>
        <w:rPr>
          <w:b w:val="1"/>
          <w:sz w:val="24"/>
        </w:rPr>
        <w:t>о</w:t>
      </w:r>
      <w:r>
        <w:rPr>
          <w:b w:val="1"/>
          <w:sz w:val="24"/>
        </w:rPr>
        <w:t>-нижнечелюстно</w:t>
      </w:r>
      <w:r>
        <w:rPr>
          <w:b w:val="1"/>
          <w:sz w:val="24"/>
        </w:rPr>
        <w:t>го</w:t>
      </w:r>
      <w:r>
        <w:rPr>
          <w:b w:val="1"/>
          <w:sz w:val="24"/>
        </w:rPr>
        <w:t xml:space="preserve"> сустав</w:t>
      </w:r>
      <w:r>
        <w:rPr>
          <w:b w:val="1"/>
          <w:sz w:val="24"/>
        </w:rPr>
        <w:t>а</w:t>
      </w:r>
      <w:r>
        <w:rPr>
          <w:b w:val="1"/>
          <w:sz w:val="24"/>
        </w:rPr>
        <w:t>"</w:t>
      </w:r>
      <w:r>
        <w:rPr>
          <w:rFonts w:ascii="Aptos" w:hAnsi="Aptos"/>
          <w:sz w:val="24"/>
        </w:rPr>
        <w:t xml:space="preserve"> </w:t>
      </w:r>
    </w:p>
    <w:p w14:paraId="02000000">
      <w:pPr>
        <w:widowControl w:val="1"/>
        <w:spacing w:after="0" w:line="468" w:lineRule="auto"/>
        <w:ind w:firstLine="0" w:left="3436" w:right="3398"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 Жемкова Л.М.</w:t>
      </w:r>
    </w:p>
    <w:p w14:paraId="03000000">
      <w:pPr>
        <w:widowControl w:val="1"/>
        <w:spacing w:after="0" w:line="468" w:lineRule="auto"/>
        <w:ind w:firstLine="0" w:left="3436" w:right="3398"/>
        <w:jc w:val="center"/>
      </w:pPr>
      <w:r>
        <w:rPr>
          <w:rFonts w:ascii="Aptos" w:hAnsi="Aptos"/>
          <w:sz w:val="24"/>
        </w:rPr>
        <w:t xml:space="preserve"> </w:t>
      </w:r>
      <w:r>
        <w:rPr>
          <w:i w:val="1"/>
          <w:sz w:val="24"/>
        </w:rPr>
        <w:t>студент</w:t>
      </w:r>
      <w:r>
        <w:rPr>
          <w:rFonts w:ascii="Aptos" w:hAnsi="Aptos"/>
          <w:i w:val="1"/>
          <w:sz w:val="24"/>
        </w:rPr>
        <w:t xml:space="preserve"> </w:t>
      </w:r>
    </w:p>
    <w:p w14:paraId="04000000">
      <w:pPr>
        <w:widowControl w:val="1"/>
        <w:spacing w:after="218" w:line="291" w:lineRule="auto"/>
        <w:ind w:firstLine="0" w:right="0"/>
        <w:jc w:val="center"/>
      </w:pPr>
      <w:r>
        <w:rPr>
          <w:i w:val="1"/>
          <w:sz w:val="24"/>
        </w:rPr>
        <w:t>Федеральное государственное бюджетное образовательное учреждение высшего образования "Ульяновский государственный университет", Институт медицины, экологии и физической культуры, г. Ульяновск, Россия</w:t>
      </w:r>
      <w:r>
        <w:rPr>
          <w:rFonts w:ascii="Aptos" w:hAnsi="Aptos"/>
          <w:i w:val="1"/>
          <w:sz w:val="24"/>
        </w:rPr>
        <w:t xml:space="preserve"> </w:t>
      </w:r>
    </w:p>
    <w:p w14:paraId="05000000">
      <w:pPr>
        <w:widowControl w:val="1"/>
        <w:spacing w:after="180" w:line="259" w:lineRule="auto"/>
        <w:ind w:firstLine="0" w:right="8"/>
        <w:jc w:val="center"/>
      </w:pPr>
      <w:r>
        <w:rPr>
          <w:i w:val="1"/>
          <w:sz w:val="24"/>
        </w:rPr>
        <w:t>zhemkova20.08@mail.ru</w:t>
      </w:r>
      <w:r>
        <w:rPr>
          <w:rFonts w:ascii="Aptos" w:hAnsi="Aptos"/>
          <w:i w:val="1"/>
          <w:sz w:val="24"/>
        </w:rPr>
        <w:t xml:space="preserve"> </w:t>
      </w:r>
    </w:p>
    <w:p w14:paraId="06000000">
      <w:pPr>
        <w:widowControl w:val="1"/>
        <w:ind w:left="-15" w:right="0"/>
      </w:pPr>
      <w:r>
        <w:rPr>
          <w:b w:val="1"/>
        </w:rPr>
        <w:t xml:space="preserve">Введение. </w:t>
      </w:r>
      <w:r>
        <w:t>Височно</w:t>
      </w:r>
      <w:r>
        <w:t>-</w:t>
      </w:r>
      <w:r>
        <w:t>нижнечелюстные расстройства (ВНЧР) представляют собой актуальную проблему современной стоматологии и неврологии, поскольку являются одной из основных причин неодонтогенной боли в челюстно</w:t>
      </w:r>
      <w:r>
        <w:t>-</w:t>
      </w:r>
      <w:r>
        <w:t>лицевой области. Распространённость симптомов дисфункции ВНЧС, по данным различных авторов, является весьма высокой, при этом до 70% обращений за специализированной помощью приходится на лиц трудоспособного возраста. Несмотря на доступность клинического осмотра, многие пациенты длительное время не получают адекватн</w:t>
      </w:r>
      <w:r>
        <w:t>ого лечения из</w:t>
      </w:r>
      <w:r>
        <w:t>-</w:t>
      </w:r>
      <w:r>
        <w:t>за сложности дифференциальной диагностики, полиэтиологичности заболевания и недостаточной настороженности врачей</w:t>
      </w:r>
      <w:r>
        <w:t>-</w:t>
      </w:r>
      <w:r>
        <w:t>стоматологов. Хроническая боль в челюстно</w:t>
      </w:r>
      <w:r>
        <w:t>-</w:t>
      </w:r>
      <w:r>
        <w:t>лицевой области значительно ухудшает качество жизни, снижает работоспособность и нередко сопровождается тревожно</w:t>
      </w:r>
      <w:r>
        <w:t>-</w:t>
      </w:r>
      <w:r>
        <w:t>депрессивными расстройствами [1].</w:t>
      </w:r>
      <w:r>
        <w:rPr>
          <w:rFonts w:ascii="Aptos" w:hAnsi="Aptos"/>
        </w:rPr>
        <w:t xml:space="preserve"> </w:t>
      </w:r>
    </w:p>
    <w:p w14:paraId="07000000">
      <w:pPr>
        <w:widowControl w:val="1"/>
        <w:ind w:left="-15" w:right="0"/>
      </w:pPr>
      <w:r>
        <w:t>Эпидемиологические исследования показывают, что среди пациентов с ВНЧР преобладают женщины —</w:t>
      </w:r>
      <w:r>
        <w:t xml:space="preserve"> </w:t>
      </w:r>
      <w:r>
        <w:t>соотношение с мужчинами варьирует от 2:1 до 4:1, а при рентгенологически подтверждённом смещении суставного диска достигает 9:1. Максимальная частота выявления смещения диска приходится на пубертатный период, что связывают с гормональными колебаниями. По данным некоторых авторов, около 20–30% взрослого населения хотя бы раз в жизни испытывали симптомы ВНЧР, однако активное выявление расстройств остаётся низким. Травма челюсти (прямая или хлыстовая) выявляется в анамнезе у значительной части пациентов, но в</w:t>
      </w:r>
      <w:r>
        <w:t xml:space="preserve"> силу давности события редко ассоциируется с развитием дисфункции. Парафункциональные привычки (бруксизм, стискивание зубов), психосоциальный стресс, а также генетические особенности рассматриваются в качестве ключевых факторов риска, тогда как роль окклюзионных нарушений в настоящее время признаётся несостоятельной [2].</w:t>
      </w:r>
      <w:r>
        <w:rPr>
          <w:rFonts w:ascii="Aptos" w:hAnsi="Aptos"/>
        </w:rPr>
        <w:t xml:space="preserve"> </w:t>
      </w:r>
    </w:p>
    <w:p w14:paraId="08000000">
      <w:pPr>
        <w:widowControl w:val="1"/>
        <w:ind w:left="-15" w:right="0"/>
      </w:pPr>
      <w:r>
        <w:t>Несмотря на наличие клинических рекомендаций, в реальной практике наблюдается тенденция к гипердиагностике ВНЧР или, напротив, к игнорированию ранних симптомов (щелчков, ограничения открывания рта, мышечной боли). Отсутствие унифицированных подходов к скринингу и низкая междисциплинарность ведения пациентов приводят к хронизации патологии, формированию необратимых изменений в суставе и снижению эффективности терапии. В связи с этим актуальным является разработка простых, доступных инструментов для первичной</w:t>
      </w:r>
      <w:r>
        <w:t xml:space="preserve"> </w:t>
      </w:r>
      <w:r>
        <w:t>оценки риска ВНЧР среди населения, что позволит своевременно направлять пациентов на специализированное обследование (МРТ, аксиографию, кондилографию) и предотвратить прогрессирование заболевания [3].</w:t>
      </w:r>
      <w:r>
        <w:rPr>
          <w:rFonts w:ascii="Aptos" w:hAnsi="Aptos"/>
        </w:rPr>
        <w:t xml:space="preserve"> </w:t>
      </w:r>
    </w:p>
    <w:p w14:paraId="09000000">
      <w:pPr>
        <w:widowControl w:val="1"/>
        <w:ind w:left="-15" w:right="0"/>
      </w:pPr>
      <w:r>
        <w:rPr>
          <w:b w:val="1"/>
        </w:rPr>
        <w:t xml:space="preserve">Цель исследования: </w:t>
      </w:r>
      <w:r>
        <w:t>применить на практике инструмент оценки риска височнонижнечелюстных расстройств для выявления лиц с начальными проявлениями дисфункции ВНЧС и провести анализ полученных данных.</w:t>
      </w:r>
      <w:r>
        <w:rPr>
          <w:rFonts w:ascii="Aptos" w:hAnsi="Aptos"/>
        </w:rPr>
        <w:t xml:space="preserve"> </w:t>
      </w:r>
    </w:p>
    <w:p w14:paraId="0A000000">
      <w:pPr>
        <w:widowControl w:val="1"/>
        <w:ind w:left="-15" w:right="0"/>
      </w:pPr>
      <w:r>
        <w:rPr>
          <w:b w:val="1"/>
        </w:rPr>
        <w:t xml:space="preserve">Материалы и методы. </w:t>
      </w:r>
      <w:r>
        <w:t>Проведён анализ отечественной и зарубежной литературы по проблеме ВНЧР, а также статистических данных о распространённости заболевания. Разработан алгоритм оценки риска, включающий вопросы о боли в области ВНЧС и жевательных мышц, ограничении открывания рта, наличии шумов (щелчки, крепитация), привычке стискивать зубы, травмах челюсти в анамнезе и психоэмоциональном статусе. Алгоритм был реализован в виде онлайн</w:t>
      </w:r>
      <w:r>
        <w:t>-</w:t>
      </w:r>
      <w:r>
        <w:t>анкеты на платформе Яндекс формы, а также в печатном варианте («Дневник</w:t>
      </w:r>
      <w:r>
        <w:t xml:space="preserve"> </w:t>
      </w:r>
      <w:r>
        <w:t xml:space="preserve">здоровья ВНЧС») для лиц </w:t>
      </w:r>
      <w:r>
        <w:t>без доступа к интернету. Скрининг проведён среди 120 человек в возрасте 18 лет и старше. Участники, набравшие определённое количество баллов, получали индивидуальные рекомендации по маршрутизации: консультация стоматолога, невролога или направление на МРТ ВНЧС.</w:t>
      </w:r>
      <w:r>
        <w:rPr>
          <w:rFonts w:ascii="Aptos" w:hAnsi="Aptos"/>
        </w:rPr>
        <w:t xml:space="preserve"> </w:t>
      </w:r>
    </w:p>
    <w:p w14:paraId="0B000000">
      <w:pPr>
        <w:widowControl w:val="1"/>
        <w:ind w:left="-15" w:right="0"/>
      </w:pPr>
      <w:r>
        <w:rPr>
          <w:b w:val="1"/>
        </w:rPr>
        <w:t xml:space="preserve">Результаты исследования. </w:t>
      </w:r>
      <w:r>
        <w:t>По итогам тестирования из 120 опрошенных 53 человека (46,9%) отметили у себя хотя бы один симптом, характерный для ВНЧР: боль при жевании, щелчки или ограничение открывания рта. Среди всех подтверждённых случаев преобладали женщины (соотношение 4:1), наиболее частым фактором риска являлся хронический стресс (78% пациентов) и парафункциональная активность (65%). В 10% случаев в анамнезе была указана травма челюсти.</w:t>
      </w:r>
      <w:r>
        <w:rPr>
          <w:rFonts w:ascii="Aptos" w:hAnsi="Aptos"/>
        </w:rPr>
        <w:t xml:space="preserve"> </w:t>
      </w:r>
    </w:p>
    <w:p w14:paraId="0C000000">
      <w:pPr>
        <w:widowControl w:val="1"/>
        <w:spacing w:after="34"/>
        <w:ind w:left="-15" w:right="0"/>
      </w:pPr>
      <w:r>
        <w:rPr>
          <w:b w:val="1"/>
        </w:rPr>
        <w:t xml:space="preserve">Заключение. </w:t>
      </w:r>
      <w:r>
        <w:t>Применение анкетирования, доступного для самостоятельного заполнения, позволяет с высокой эффективностью выявлять лиц с риском развития височно</w:t>
      </w:r>
      <w:r>
        <w:t>-</w:t>
      </w:r>
      <w:r>
        <w:t>нижнечелюстных расстройств на ранних этапах. Анкетирование показало, что почти 50% респондентов имеют те или иные симптомы дисфункции, что подтверждает актуальность проблемы. Раннее направление пациентов из группы высокого риска на МРТ и к профильным специалистам способствует своевременному началу консервативной терапии (каппы, физиотерапия, психокоррекция), предотв</w:t>
      </w:r>
      <w:r>
        <w:t>ращает хронизацию болевого синдрома и снижает потребность в хирургических вмешательствах. Внедрение подобных скринингов в первичное стоматологическое звено и в программы диспансеризации позволит улучшить качество жизни пациентов и уменьшить экономические затраты на лечение запущенных форм ВНЧР.</w:t>
      </w:r>
      <w:r>
        <w:rPr>
          <w:rFonts w:ascii="Aptos" w:hAnsi="Aptos"/>
        </w:rPr>
        <w:t xml:space="preserve"> </w:t>
      </w:r>
    </w:p>
    <w:p w14:paraId="0D000000">
      <w:pPr>
        <w:widowControl w:val="1"/>
        <w:spacing w:after="34"/>
        <w:ind w:left="-15" w:right="0"/>
      </w:pPr>
    </w:p>
    <w:p w14:paraId="0E000000">
      <w:pPr>
        <w:widowControl w:val="1"/>
        <w:spacing w:after="34"/>
        <w:ind w:left="-15" w:right="0"/>
      </w:pPr>
      <w:r>
        <w:rPr>
          <w:b w:val="1"/>
        </w:rPr>
        <w:t>Литературные источники.</w:t>
      </w:r>
      <w:r>
        <w:rPr>
          <w:rFonts w:ascii="Aptos" w:hAnsi="Aptos"/>
        </w:rPr>
        <w:t xml:space="preserve"> </w:t>
      </w:r>
    </w:p>
    <w:p w14:paraId="0F000000">
      <w:pPr>
        <w:widowControl w:val="1"/>
        <w:numPr>
          <w:ilvl w:val="0"/>
          <w:numId w:val="1"/>
        </w:numPr>
        <w:spacing w:after="30"/>
        <w:ind w:right="0"/>
      </w:pPr>
      <w:r>
        <w:t>Семкин В. А., Рабухина Н. А. Дисфункция височно</w:t>
      </w:r>
      <w:r>
        <w:t>-</w:t>
      </w:r>
      <w:r>
        <w:t>нижнечелюстных суставов (клиника,</w:t>
      </w:r>
      <w:r>
        <w:rPr>
          <w:rFonts w:ascii="Aptos" w:hAnsi="Aptos"/>
        </w:rPr>
        <w:t xml:space="preserve"> </w:t>
      </w:r>
      <w:r>
        <w:t>диагностика и лечение). –</w:t>
      </w:r>
      <w:r>
        <w:t xml:space="preserve"> </w:t>
      </w:r>
      <w:r>
        <w:t xml:space="preserve">М.: ЗАО Редакция журнала «Новое в стоматологии». </w:t>
      </w:r>
      <w:r>
        <w:t xml:space="preserve">- 2000. - </w:t>
      </w:r>
      <w:r>
        <w:t>56 с.</w:t>
      </w:r>
      <w:r>
        <w:rPr>
          <w:rFonts w:ascii="Aptos" w:hAnsi="Aptos"/>
        </w:rPr>
        <w:t xml:space="preserve"> </w:t>
      </w:r>
    </w:p>
    <w:p w14:paraId="10000000">
      <w:pPr>
        <w:widowControl w:val="1"/>
        <w:numPr>
          <w:ilvl w:val="0"/>
          <w:numId w:val="1"/>
        </w:numPr>
        <w:spacing w:after="40"/>
        <w:ind w:right="0"/>
      </w:pPr>
      <w:r>
        <w:t>Заболевания височно</w:t>
      </w:r>
      <w:r>
        <w:t>-</w:t>
      </w:r>
      <w:r>
        <w:t>нижнечелюстного сустава / А. Ю. Васильев, А. Ю. Дробышев, Н. С. Дробышева [и др.]; под ред. А. Ю. Дробышева. –</w:t>
      </w:r>
      <w:r>
        <w:t xml:space="preserve"> </w:t>
      </w:r>
      <w:r>
        <w:t>Москва : ГЭОТАР</w:t>
      </w:r>
      <w:r>
        <w:t>-</w:t>
      </w:r>
      <w:r>
        <w:t>Медиа, 2026. –</w:t>
      </w:r>
      <w:r>
        <w:t xml:space="preserve"> </w:t>
      </w:r>
      <w:r>
        <w:t>360 с. –</w:t>
      </w:r>
      <w:r>
        <w:t xml:space="preserve"> ISBN  </w:t>
      </w:r>
      <w:r>
        <w:t>978-5-</w:t>
      </w:r>
      <w:r>
        <w:t xml:space="preserve">9704-8844-7. </w:t>
      </w:r>
      <w:r>
        <w:t>–</w:t>
      </w:r>
      <w:r>
        <w:t xml:space="preserve"> </w:t>
      </w:r>
      <w:r>
        <w:t>Текст: непосредственный. (Шифр КНМБ 617.52</w:t>
      </w:r>
      <w:r>
        <w:t>-</w:t>
      </w:r>
      <w:r>
        <w:t>079.4 З</w:t>
      </w:r>
      <w:r>
        <w:t>-12)</w:t>
      </w:r>
      <w:r>
        <w:rPr>
          <w:rFonts w:ascii="Aptos" w:hAnsi="Aptos"/>
        </w:rPr>
        <w:t xml:space="preserve"> </w:t>
      </w:r>
    </w:p>
    <w:p w14:paraId="11000000">
      <w:pPr>
        <w:widowControl w:val="1"/>
        <w:numPr>
          <w:ilvl w:val="0"/>
          <w:numId w:val="1"/>
        </w:numPr>
        <w:spacing w:after="0" w:line="320" w:lineRule="auto"/>
        <w:ind w:right="0"/>
      </w:pPr>
      <w:r>
        <w:t>Diseases of the temporomandibulas apparatus a multidisciplinary approach// Edit D. N. Morgan,</w:t>
      </w:r>
      <w:r>
        <w:rPr>
          <w:rFonts w:ascii="Aptos" w:hAnsi="Aptos"/>
        </w:rPr>
        <w:t xml:space="preserve"> </w:t>
      </w:r>
      <w:r>
        <w:t>L. R. House, W. P. Hall, S. J. Vamvas.- st. Lovis Toronto, Mosby Compani,1982.-659 p.</w:t>
      </w:r>
      <w:r>
        <w:rPr>
          <w:rFonts w:ascii="Aptos" w:hAnsi="Aptos"/>
        </w:rPr>
        <w:t xml:space="preserve"> </w:t>
      </w:r>
    </w:p>
    <w:p w14:paraId="12000000">
      <w:pPr>
        <w:widowControl w:val="1"/>
        <w:numPr>
          <w:ilvl w:val="0"/>
          <w:numId w:val="1"/>
        </w:numPr>
        <w:spacing w:after="4194"/>
        <w:ind w:right="0"/>
      </w:pPr>
      <w:r>
        <w:t>Даниэле Манфредини «Височно</w:t>
      </w:r>
      <w:r>
        <w:t>-</w:t>
      </w:r>
      <w:r>
        <w:t>нижнечелюстные расстройства. Современные концепции</w:t>
      </w:r>
      <w:r>
        <w:t xml:space="preserve"> </w:t>
      </w:r>
      <w:r>
        <w:t>диагностики и лечения» (2013)</w:t>
      </w:r>
      <w:r>
        <w:rPr>
          <w:rFonts w:ascii="Aptos" w:hAnsi="Aptos"/>
          <w:sz w:val="20"/>
          <w:vertAlign w:val="superscript"/>
        </w:rPr>
        <w:t>1</w:t>
      </w:r>
      <w:r>
        <w:rPr>
          <w:rFonts w:ascii="Aptos" w:hAnsi="Aptos"/>
        </w:rPr>
        <w:t xml:space="preserve"> </w:t>
      </w:r>
    </w:p>
    <w:p w14:paraId="13000000">
      <w:pPr>
        <w:widowControl w:val="1"/>
        <w:spacing w:after="0" w:line="259" w:lineRule="auto"/>
        <w:ind w:firstLine="0" w:right="0"/>
        <w:jc w:val="left"/>
      </w:pPr>
      <w:r>
        <w:rPr>
          <w:rFonts w:ascii="Calibri" w:hAnsi="Calibri"/>
        </w:rPr>
        <mc:AlternateContent>
          <mc:Choice Requires="wpg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829816" cy="6350"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829816" cy="6350"/>
                          <a:chOff x="0" y="0"/>
                          <a:chExt cx="1829816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829816" cy="9144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829816" name="ODFRight"/>
                              <a:gd fmla="val 9144" name="ODFBottom"/>
                              <a:gd fmla="val 1829816" name="ODFWidth"/>
                              <a:gd fmla="val 9144" name="ODFHeight"/>
                            </a:gdLst>
                            <a:rect b="OXMLTextRectB" l="OXMLTextRectL" r="OXMLTextRectR" t="OXMLTextRectT"/>
                            <a:pathLst>
                              <a:path fill="norm" h="9144" stroke="true" w="1829816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prstDash val="solid"/>
                          </a:ln>
                        </wps:spPr>
                        <wps:style>
                          <a:lnRef idx="0"/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ptos" w:hAnsi="Aptos"/>
          <w:sz w:val="24"/>
        </w:rPr>
        <w:t xml:space="preserve"> </w:t>
      </w:r>
    </w:p>
    <w:p w14:paraId="14000000">
      <w:pPr>
        <w:widowControl w:val="1"/>
        <w:spacing w:after="0" w:line="259" w:lineRule="auto"/>
        <w:ind w:firstLine="0" w:right="0"/>
        <w:jc w:val="left"/>
      </w:pPr>
      <w:r>
        <w:rPr>
          <w:rFonts w:ascii="Aptos" w:hAnsi="Aptos"/>
          <w:sz w:val="12"/>
        </w:rPr>
        <w:t xml:space="preserve"> </w:t>
      </w:r>
    </w:p>
    <w:sectPr>
      <w:pgSz w:h="16840" w:orient="portrait" w:w="11905"/>
      <w:pgMar w:bottom="1132" w:footer="720" w:gutter="0" w:header="720" w:left="1701" w:right="839" w:top="118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left="0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79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251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323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95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467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539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611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831"/>
      </w:pPr>
      <w:rPr>
        <w:rFonts w:ascii="Times New Roman" w:hAnsi="Times New Roman"/>
        <w:b w:val="0"/>
        <w:i w:val="0"/>
        <w:strike w:val="0"/>
        <w:color w:val="000000"/>
        <w:sz w:val="22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4" w:line="287" w:lineRule="auto"/>
      <w:ind w:firstLine="701" w:right="4"/>
      <w:jc w:val="both"/>
    </w:pPr>
    <w:rPr>
      <w:rFonts w:ascii="Times New Roman" w:hAnsi="Times New Roman"/>
      <w:color w:val="000000"/>
      <w:sz w:val="22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2026-04-05T14:37:00Z</dcterms:created>
  <dcterms:modified xsi:type="dcterms:W3CDTF">2026-04-05T14:37:00Z</dcterms:modified>
</cp:coreProperties>
</file>