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0744" w14:textId="77777777" w:rsidR="00982A2C" w:rsidRDefault="00982A2C" w:rsidP="00982A2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готовности граждан к осознанному использованию кредитных инструментов</w:t>
      </w:r>
    </w:p>
    <w:p w14:paraId="3FC6AEA5" w14:textId="77777777" w:rsidR="00982A2C" w:rsidRDefault="00982A2C" w:rsidP="00982A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Актуальность и проблематика проекта</w:t>
      </w:r>
    </w:p>
    <w:p w14:paraId="4426BBD8" w14:textId="77777777" w:rsidR="00982A2C" w:rsidRDefault="00982A2C" w:rsidP="00982A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условиях масштабной цифровой трансформации экономики доступ к заемным средствам стал максимально упрощенным: получение кредита в мобильном приложении происходит в «один клик». Это создает серьезные риски импульсивного финансового поведения и ведет к росту закредитованности населения. В связи с этим управление проектами по повышению финансовой грамотности приобретает особую актуальность как инструмент обеспечения экономической безопасности граждан и государства.</w:t>
      </w:r>
    </w:p>
    <w:p w14:paraId="1D012763" w14:textId="77777777" w:rsidR="00982A2C" w:rsidRDefault="00982A2C" w:rsidP="00982A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Проблема: Недостаточная эффективность традиционных образовательных методов в условиях цифровой среды и необходимость внедрения интерактивных финтех-инструментов для оценки долговой нагрузки.</w:t>
      </w:r>
    </w:p>
    <w:p w14:paraId="5050B33E" w14:textId="00EF5A19" w:rsidR="00982A2C" w:rsidRDefault="00982A2C" w:rsidP="00982A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Анализ существующих проектов и их реализация.</w:t>
      </w:r>
      <w:r>
        <w:rPr>
          <w:rFonts w:ascii="Times New Roman" w:hAnsi="Times New Roman"/>
          <w:sz w:val="28"/>
          <w:szCs w:val="28"/>
        </w:rPr>
        <w:br/>
        <w:t>В данной сфере можно выделить три уровня реализации проектов:</w:t>
      </w:r>
      <w:r>
        <w:rPr>
          <w:rFonts w:ascii="Times New Roman" w:hAnsi="Times New Roman"/>
          <w:sz w:val="28"/>
          <w:szCs w:val="28"/>
        </w:rPr>
        <w:br/>
        <w:t>Банковский сектор (Тинькофф, Сбер, ВТБ): Крупнейшие экосистемы внедряют внутри своих приложений разделы «Финансовое здоровье» и сторизы с обучением. Например, «СберСова» — это полноценный образовательный медиапроект. Цель таких проектов — лояльность клиента и снижение доли невозвратных кредитов.</w:t>
      </w:r>
      <w:r>
        <w:rPr>
          <w:rFonts w:ascii="Times New Roman" w:hAnsi="Times New Roman"/>
          <w:sz w:val="28"/>
          <w:szCs w:val="28"/>
        </w:rPr>
        <w:br/>
        <w:t>Финтех-стартапы и сервисы: Существуют независимые приложения для контроля личных финансов (например, CoinKeeper, Zenmoney), которые автоматизируют учет расходов и визуализируют долговую нагрузку.</w:t>
      </w:r>
      <w:r>
        <w:rPr>
          <w:rFonts w:ascii="Times New Roman" w:hAnsi="Times New Roman"/>
          <w:sz w:val="28"/>
          <w:szCs w:val="28"/>
        </w:rPr>
        <w:br/>
        <w:t>Некоммерческий сектор: Проекты вроде «Финшок» (Ассоциация развития финансовой грамотности), направленные на защиту прав заемщиков и борьбу с мошенничеством в цифровой среде.</w:t>
      </w:r>
      <w:r>
        <w:rPr>
          <w:rFonts w:ascii="Times New Roman" w:hAnsi="Times New Roman"/>
          <w:sz w:val="28"/>
          <w:szCs w:val="28"/>
        </w:rPr>
        <w:br/>
        <w:t>3. Федеральная поддержка и государственное управление</w:t>
      </w:r>
      <w:r>
        <w:rPr>
          <w:rFonts w:ascii="Times New Roman" w:hAnsi="Times New Roman"/>
          <w:sz w:val="28"/>
          <w:szCs w:val="28"/>
        </w:rPr>
        <w:br/>
        <w:t>Государство не только создает свои ресурсы, но и выступает регулятором и «драйвером» для частных инициатив: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Минфин РФ и Центральный банк: Реализуют глобальные проекты «</w:t>
      </w:r>
      <w:hyperlink r:id="rId4" w:tgtFrame="_blank" w:history="1">
        <w:r>
          <w:rPr>
            <w:rStyle w:val="ac"/>
            <w:rFonts w:ascii="Times New Roman" w:hAnsi="Times New Roman"/>
            <w:sz w:val="28"/>
            <w:szCs w:val="28"/>
          </w:rPr>
          <w:t>Моифинансы.рф</w:t>
        </w:r>
      </w:hyperlink>
      <w:r>
        <w:rPr>
          <w:rFonts w:ascii="Times New Roman" w:hAnsi="Times New Roman"/>
          <w:sz w:val="28"/>
          <w:szCs w:val="28"/>
        </w:rPr>
        <w:t>» и «</w:t>
      </w:r>
      <w:hyperlink r:id="rId5" w:tgtFrame="_blank" w:history="1">
        <w:r>
          <w:rPr>
            <w:rStyle w:val="ac"/>
            <w:rFonts w:ascii="Times New Roman" w:hAnsi="Times New Roman"/>
            <w:sz w:val="28"/>
            <w:szCs w:val="28"/>
          </w:rPr>
          <w:t>Fincult.info</w:t>
        </w:r>
      </w:hyperlink>
      <w:r>
        <w:rPr>
          <w:rFonts w:ascii="Times New Roman" w:hAnsi="Times New Roman"/>
          <w:sz w:val="28"/>
          <w:szCs w:val="28"/>
        </w:rPr>
        <w:t>». На федеральном уровне поддержка осуществляется через гранты и методологическую помощь.</w:t>
      </w:r>
      <w:r>
        <w:rPr>
          <w:rFonts w:ascii="Times New Roman" w:hAnsi="Times New Roman"/>
          <w:sz w:val="28"/>
          <w:szCs w:val="28"/>
        </w:rPr>
        <w:br/>
        <w:t>АРФГ (Ассоциация развития финансовой грамотности): Учреждена ЦБ и крупными игроками рынка. Она оказывает ресурсную и грантовую поддержку частным и региональным проектам по всей России.</w:t>
      </w:r>
      <w:r>
        <w:rPr>
          <w:rFonts w:ascii="Times New Roman" w:hAnsi="Times New Roman"/>
          <w:sz w:val="28"/>
          <w:szCs w:val="28"/>
        </w:rPr>
        <w:br/>
        <w:t>Национальные проекты: Программы повышения финграмотности включены в повестку цифровизации госуслуг (интеграция обучающих элементов в портал «Госуслуги»).</w:t>
      </w:r>
      <w:r>
        <w:rPr>
          <w:rFonts w:ascii="Times New Roman" w:hAnsi="Times New Roman"/>
          <w:sz w:val="28"/>
          <w:szCs w:val="28"/>
        </w:rPr>
        <w:br/>
        <w:t xml:space="preserve">4. </w:t>
      </w:r>
      <w:r w:rsidRPr="00982A2C">
        <w:rPr>
          <w:rFonts w:ascii="Times New Roman" w:hAnsi="Times New Roman"/>
          <w:sz w:val="28"/>
          <w:szCs w:val="28"/>
        </w:rPr>
        <w:t>Перспективы развития инструментов контроля долговой нагрузки</w:t>
      </w:r>
      <w:r>
        <w:rPr>
          <w:rFonts w:ascii="Times New Roman" w:hAnsi="Times New Roman"/>
          <w:sz w:val="28"/>
          <w:szCs w:val="28"/>
        </w:rPr>
        <w:br/>
      </w:r>
      <w:r w:rsidRPr="00982A2C">
        <w:rPr>
          <w:rFonts w:ascii="Times New Roman" w:hAnsi="Times New Roman"/>
          <w:sz w:val="28"/>
          <w:szCs w:val="28"/>
        </w:rPr>
        <w:t>Анализ показывает, что для повышения эффективности обучения целесообразно использовать визуальные индикаторы долговой нагрузки (например, концептуальный инструмент «Термометр ПДН»). Такой подход позволяет перевести сложные банковские расчеты в интуитивно понятную форму непосредственно в момент принятия финансового решения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/>
        <w:t>Заключение</w:t>
      </w:r>
      <w:r>
        <w:rPr>
          <w:rFonts w:ascii="Times New Roman" w:hAnsi="Times New Roman"/>
          <w:sz w:val="28"/>
          <w:szCs w:val="28"/>
        </w:rPr>
        <w:br/>
      </w:r>
      <w:r w:rsidR="002944A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аиболее эффективными являются проекты, сочетающие в себе коммерческую технологичность и федеральную экспертную поддержку. Инструменты типа «Термометра ПДН» позволяют перевести управление долговой нагрузкой из теоретической плоскости в ежедневную цифровую практику граждан.</w:t>
      </w:r>
    </w:p>
    <w:p w14:paraId="2A53F082" w14:textId="3E721021" w:rsidR="006357A9" w:rsidRPr="006357A9" w:rsidRDefault="006357A9" w:rsidP="00982A2C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Источники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14:paraId="42F926CB" w14:textId="40208659" w:rsidR="00982A2C" w:rsidRDefault="006357A9" w:rsidP="00982A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357A9">
        <w:rPr>
          <w:rFonts w:ascii="Times New Roman" w:hAnsi="Times New Roman"/>
          <w:sz w:val="28"/>
          <w:szCs w:val="28"/>
        </w:rPr>
        <w:t>Стратегия повышения финансовой грамотности и формирования финансовой культуры до 2030 года : распоряжение Правительства РФ от 24.10.2023 № 2958-р // Собрание законодательства РФ. — 2023. — № 44. — Ст. 7949.</w:t>
      </w:r>
      <w:r w:rsidRPr="006357A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2.  </w:t>
      </w:r>
      <w:r w:rsidRPr="006357A9">
        <w:rPr>
          <w:rFonts w:ascii="Times New Roman" w:hAnsi="Times New Roman"/>
          <w:sz w:val="28"/>
          <w:szCs w:val="28"/>
        </w:rPr>
        <w:t xml:space="preserve">Обзор финансовой стабильности : информационно-аналитический материал / Банк России. — Москва, 2025. — URL: </w:t>
      </w:r>
      <w:hyperlink r:id="rId6" w:tgtFrame="_blank" w:history="1">
        <w:r w:rsidRPr="006357A9">
          <w:rPr>
            <w:rStyle w:val="ac"/>
            <w:rFonts w:ascii="Times New Roman" w:hAnsi="Times New Roman"/>
            <w:sz w:val="28"/>
            <w:szCs w:val="28"/>
          </w:rPr>
          <w:t>cbr.ru</w:t>
        </w:r>
      </w:hyperlink>
      <w:r w:rsidRPr="006357A9">
        <w:rPr>
          <w:rFonts w:ascii="Times New Roman" w:hAnsi="Times New Roman"/>
          <w:sz w:val="28"/>
          <w:szCs w:val="28"/>
        </w:rPr>
        <w:t xml:space="preserve"> (дата обращения: 23.03.2026).</w:t>
      </w:r>
    </w:p>
    <w:p w14:paraId="4F5AB084" w14:textId="77777777" w:rsidR="009F353A" w:rsidRDefault="009F353A"/>
    <w:sectPr w:rsidR="009F3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2C"/>
    <w:rsid w:val="002944A3"/>
    <w:rsid w:val="006357A9"/>
    <w:rsid w:val="00951F4C"/>
    <w:rsid w:val="00982A2C"/>
    <w:rsid w:val="009F353A"/>
    <w:rsid w:val="00B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B8B6"/>
  <w15:chartTrackingRefBased/>
  <w15:docId w15:val="{93B1D256-49BA-405E-B694-1FB5402C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A2C"/>
    <w:pPr>
      <w:spacing w:line="256" w:lineRule="auto"/>
    </w:pPr>
    <w:rPr>
      <w:rFonts w:ascii="Aptos" w:eastAsia="Aptos" w:hAnsi="Aptos" w:cs="Times New Roman"/>
    </w:rPr>
  </w:style>
  <w:style w:type="paragraph" w:styleId="1">
    <w:name w:val="heading 1"/>
    <w:basedOn w:val="a"/>
    <w:next w:val="a"/>
    <w:link w:val="10"/>
    <w:uiPriority w:val="9"/>
    <w:qFormat/>
    <w:rsid w:val="00982A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A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A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A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A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A2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A2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A2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A2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A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A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A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A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A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A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2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A2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2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A2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2A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A2C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982A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2A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2A2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82A2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35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cbr.ru&amp;utf=1" TargetMode="External"/><Relationship Id="rId5" Type="http://schemas.openxmlformats.org/officeDocument/2006/relationships/hyperlink" Target="https://vk.com/away.php?to=https%3A%2F%2FFincult.info&amp;utf=1" TargetMode="External"/><Relationship Id="rId4" Type="http://schemas.openxmlformats.org/officeDocument/2006/relationships/hyperlink" Target="https://vk.com/away.php?to=https%3A%2F%2F%D0%9C%D0%BE%D0%B8%D1%84%D0%B8%D0%BD%D0%B0%D0%BD%D1%81%D1%8B.%D1%80%D1%84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Петрушечкин</dc:creator>
  <cp:keywords/>
  <dc:description/>
  <cp:lastModifiedBy>Александр Петрушечкин</cp:lastModifiedBy>
  <cp:revision>4</cp:revision>
  <dcterms:created xsi:type="dcterms:W3CDTF">2026-03-23T15:16:00Z</dcterms:created>
  <dcterms:modified xsi:type="dcterms:W3CDTF">2026-03-23T16:02:00Z</dcterms:modified>
</cp:coreProperties>
</file>