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75BA4" w14:textId="50CE0F05" w:rsidR="006531B6" w:rsidRPr="005F5442" w:rsidRDefault="00DA354B" w:rsidP="00F840C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КЛИНИЧЕСКИЙ СЛУЧАЙ </w:t>
      </w:r>
      <w:r w:rsidR="002E2720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КАК ИЛЛЮСТРАЦИЯ</w:t>
      </w:r>
      <w:r w:rsidR="00FF1680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2E2720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НИЗКОЙ НАСТОРОЖЕННОСТИ В ОТНОШЕНИИ ВЗК У ДЕТЕЙ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</w:p>
    <w:p w14:paraId="64DE2BB2" w14:textId="77777777" w:rsidR="00304404" w:rsidRDefault="00DA354B" w:rsidP="00F840C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Ильичева Светлана Валерьевна клинический ординатор</w:t>
      </w:r>
    </w:p>
    <w:p w14:paraId="7FB11E94" w14:textId="3A3F26B4" w:rsidR="006531B6" w:rsidRPr="005F5442" w:rsidRDefault="00304404" w:rsidP="00F840C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bookmarkStart w:id="0" w:name="_GoBack"/>
      <w:bookmarkEnd w:id="0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Мартынова Анастасия Александровна клинический ординатор</w:t>
      </w:r>
    </w:p>
    <w:p w14:paraId="48EF0C1A" w14:textId="145C006D" w:rsidR="006531B6" w:rsidRPr="005F5442" w:rsidRDefault="00240FC5" w:rsidP="00F840C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Научный руководитель старший преподаватель</w:t>
      </w:r>
      <w:r w:rsidR="001D066D" w:rsidRPr="001D066D">
        <w:t xml:space="preserve"> </w:t>
      </w:r>
      <w:r w:rsidR="001D066D" w:rsidRPr="001D066D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Котманова Наталия Александровна</w:t>
      </w:r>
    </w:p>
    <w:p w14:paraId="15B0107F" w14:textId="2B5CD7A2" w:rsidR="006531B6" w:rsidRPr="005F5442" w:rsidRDefault="00DA354B" w:rsidP="00F840C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Ульяновский Государственный Университе</w:t>
      </w:r>
      <w:r w:rsidR="001D066D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т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r w:rsidR="00F840C6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Институт медицины, экологии и физической культуры,</w:t>
      </w:r>
      <w:r w:rsidR="00304404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медицинский факультет им. Т.З. Биктимирова, Ульяновск, Россия</w:t>
      </w:r>
    </w:p>
    <w:p w14:paraId="221A4DF0" w14:textId="4A2B1D50" w:rsidR="005F5442" w:rsidRPr="005F5442" w:rsidRDefault="00DA354B" w:rsidP="00F840C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</w:p>
    <w:p w14:paraId="662CAED3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Ключевые слова: анемия, желудочно-кишечное кровотечение, болезнь Крона.  </w:t>
      </w:r>
    </w:p>
    <w:p w14:paraId="5B3BCF29" w14:textId="77777777" w:rsidR="006531B6" w:rsidRPr="005F5442" w:rsidRDefault="006D23CA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</w:p>
    <w:p w14:paraId="20873110" w14:textId="69FD30B1" w:rsidR="006531B6" w:rsidRPr="005F5442" w:rsidRDefault="001D066D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bookmarkStart w:id="1" w:name="_Hlk224056272"/>
      <w:r w:rsidRPr="001D066D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Актуальность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: 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Болезнь Крона — это хроническое рецидивирующее воспалительное заболевание желудочно-кишечного тракта, относящееся к группе воспалительных заболеваний кишечника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поража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ющее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любой отдел ЖКТ, характеризуется фокальным, трансмуральным, сегментарным, гранулематозным воспалением, чаще всего локализуется в области перехода тонкой кишки в толстую. 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З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аболевание развивается в результате сочетания нескольких факторов, таких как генетическая предрасположенность, дефекты врожденного и приобретенного иммунитета, изменение кишечной микробиоты и различные факторы окружающей среды [1].</w:t>
      </w:r>
      <w:r w:rsidR="003C3147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Для болезни Крона характерны кишечные и внекишечные проявления. К кишечным относятся хроническая диарея с примесью крови, боли в животе, лихорадка, потеря веса. К внекишечным – артриты, увеиты, узловатая эритема, воспаление печени. Среди осложнений выделяют свищи, стриктуры, кишечную непроходимость [2]. </w:t>
      </w:r>
    </w:p>
    <w:p w14:paraId="7D71EC21" w14:textId="5D4E50D3" w:rsidR="006531B6" w:rsidRPr="005F5442" w:rsidRDefault="001D066D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1D066D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Цель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: п</w:t>
      </w:r>
      <w:r w:rsidRPr="001D066D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ровести анализ клинического случая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демонстрирующего 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трудности верификации диагноза и недостаточной настороженности </w:t>
      </w:r>
      <w:r w:rsid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относительно воспалительных заболеваний кишечника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в амбулаторной педиатрической практике, что может проявляться долгим диагностическим поиском.  </w:t>
      </w:r>
    </w:p>
    <w:p w14:paraId="167CAC78" w14:textId="4244D764" w:rsidR="006531B6" w:rsidRPr="005F5442" w:rsidRDefault="001D066D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Результаты: д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евочка, 12 лет, с мая 2025 г. наблюдается по поводу анемии, в ОАК гемоглобин 80 г/л, по назначению педиатра получала терапию </w:t>
      </w:r>
      <w:proofErr w:type="spellStart"/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Феррум</w:t>
      </w:r>
      <w:proofErr w:type="spellEnd"/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Лек. В ноябре 2025 г. повторно обратились к педиатру с целью коррекции терапии: стали замечать бледность кожных покровов, рекомендовано продолжить терапию </w:t>
      </w:r>
      <w:proofErr w:type="spellStart"/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Феррум</w:t>
      </w:r>
      <w:proofErr w:type="spellEnd"/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Лек. В декабре 2025 г. стали отмечать, что ребенок стал вялым, отказывался от еды, подъем температуры до 38℃. С целью профилактики вирусной инфекции принимали Арбидол. Несмотря на отсутствие стойкого эффекта и появление таких симптомов, как бледность, вялость, отказ от еды и лихорадка в ноябре-декабре 2025 г., тактика ведения пациентки не менялась: педиатр продолжал корригировать только анемию, интерпретируя ухудшение состояния как интеркуррентные инфекции (назначение Арбидола).  Диагноз был выставлен только при поступлении в стационар (30.12.25) 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–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желудочно-кишечное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кровотечение. Поздняя верификация диагноза привела к тому, что болезнь была выявлена уже на стадии тяжелых осложнений: структуры, ректальные свищи, тяжёлая анемия. </w:t>
      </w:r>
    </w:p>
    <w:p w14:paraId="47F14272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Таким образом, около 7 месяцев пациентка получала неэффективное лечение по поводу анемии, в то время как основное заболевание прогрессировало.</w:t>
      </w:r>
    </w:p>
    <w:p w14:paraId="0D8EFADD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Общий анализ крови 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при поступлении в стационар 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от 30.12.25:  анемия (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Нb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82 г/л, Эр 3,74 млн), лейкоцитоз (Л 16,67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тыс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),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Тр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457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тыс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СОЭ 7 мм/час. </w:t>
      </w:r>
    </w:p>
    <w:p w14:paraId="413AB5E5" w14:textId="77777777" w:rsidR="006531B6" w:rsidRPr="005F5442" w:rsidRDefault="004E7665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Биохимический анализ крови от 30.12.25: острый воспалительный процесс (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СРБ</w:t>
      </w: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152,4 мг/л), водно-электролитного нарушения (гипонатриемия 126,4 </w:t>
      </w:r>
      <w:proofErr w:type="spellStart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ммоль</w:t>
      </w:r>
      <w:proofErr w:type="spellEnd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/л и </w:t>
      </w:r>
      <w:proofErr w:type="spellStart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гипопротеинемия</w:t>
      </w:r>
      <w:proofErr w:type="spellEnd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56,8 г/л) и признаков повреждения тканей (повышенные значения АСТ 74,7 </w:t>
      </w:r>
      <w:r w:rsidR="001F64A0"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ЕД</w:t>
      </w: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/л и ЛДГ 471,0 </w:t>
      </w:r>
      <w:r w:rsidR="001F64A0"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ЕД</w:t>
      </w: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/л).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</w:p>
    <w:p w14:paraId="0460E238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На УЗИ органов брюшной полости выявлены признаки диффузных изменений и увеличение размеров печени, утолщение стенок кишки хроническое, свободная жидкость в брюшной полости. </w:t>
      </w:r>
    </w:p>
    <w:p w14:paraId="1819019F" w14:textId="77777777" w:rsidR="00666887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Пpоведено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лечение в АРО: диетотерапия по столу № 4 безмолочный, парентеральное питание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Кабивен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инфузионная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терапия: глюкоза 10%, калия х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лорид 4%, L-</w:t>
      </w:r>
      <w:proofErr w:type="spellStart"/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малат</w:t>
      </w:r>
      <w:proofErr w:type="spellEnd"/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lastRenderedPageBreak/>
        <w:t>эритровзвесь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СЗП,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цефоперазон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фамотидин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амикацин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метронидазол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транексам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этамзилат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парацетамол, преднизолон,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месалазин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. </w:t>
      </w:r>
    </w:p>
    <w:p w14:paraId="281F977B" w14:textId="2188CC79" w:rsidR="006531B6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06.01.2026 переведена с положительной динамикой в детское эндокринологическое отделение (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гастропрофиль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).  </w:t>
      </w:r>
    </w:p>
    <w:p w14:paraId="5F030D31" w14:textId="77777777" w:rsidR="004E7665" w:rsidRPr="004E7665" w:rsidRDefault="004E7665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В лабораторных анализах также видна чёткая положительная динамика:</w:t>
      </w:r>
    </w:p>
    <w:p w14:paraId="131E03E5" w14:textId="77777777" w:rsidR="004E7665" w:rsidRPr="004E7665" w:rsidRDefault="004E7665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Общий анализ крови от 06.01.26:  </w:t>
      </w:r>
      <w:proofErr w:type="spellStart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Нb</w:t>
      </w:r>
      <w:proofErr w:type="spellEnd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125 г/л, Эр 4,86 млн, Л 10,24 </w:t>
      </w:r>
      <w:proofErr w:type="spellStart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тыс</w:t>
      </w:r>
      <w:proofErr w:type="spellEnd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Тр</w:t>
      </w:r>
      <w:proofErr w:type="spellEnd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464 </w:t>
      </w:r>
      <w:proofErr w:type="spellStart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тыс</w:t>
      </w:r>
      <w:proofErr w:type="spellEnd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, СОЭ 28 мм/час.</w:t>
      </w:r>
    </w:p>
    <w:p w14:paraId="01881BAC" w14:textId="77777777" w:rsidR="004E7665" w:rsidRPr="004E7665" w:rsidRDefault="004E7665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Биохимический анализ крови от 06.01.26: альбумин 26,20 г/л, общий белок 54,6 г/л, АЛТ 15,7 </w:t>
      </w:r>
      <w:r w:rsidR="001F64A0"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ЕД</w:t>
      </w: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/л, АСТ 31,2 </w:t>
      </w:r>
      <w:r w:rsidR="001F64A0"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ЕД</w:t>
      </w: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/л, калий 4,2 ммоль/л, натрий 137,1 ммоль/л, СРБ</w:t>
      </w:r>
      <w:r w:rsidR="001F64A0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14 мг/л.</w:t>
      </w:r>
    </w:p>
    <w:p w14:paraId="5D9A40CB" w14:textId="77777777" w:rsidR="006531B6" w:rsidRPr="005F5442" w:rsidRDefault="004E7665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Фекальный </w:t>
      </w:r>
      <w:proofErr w:type="spellStart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кальпротектин</w:t>
      </w:r>
      <w:proofErr w:type="spellEnd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08.01.2026: 2521,3 мкг/</w:t>
      </w:r>
      <w:proofErr w:type="spellStart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гр</w:t>
      </w:r>
      <w:proofErr w:type="spellEnd"/>
      <w:r w:rsidRP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(&lt;80), что также является ключевым лабораторным показателем активной фазы воспалительного заболевания кишечника.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</w:p>
    <w:p w14:paraId="05646968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УЗИ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оpганов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бpюшной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полости от 11.01.25: Диффузные изменения паренхимы печени. Утолщение стенок толстой кишки. Свободная жидкость в брюшной полости. </w:t>
      </w:r>
    </w:p>
    <w:p w14:paraId="782C7E84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По ЭГДФС: луковица ДПК гиперемирована, отечная, ворсины просматриваются. На складках рубцы, с участками грануляций, отмечается контактная кровоточивость. Из одной складки взят кусочек слизистой на морфологическое исследование. Заключение: Рефлюкс-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эзофагиг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. Эндоскопические признаки гастрита. Язвенная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дуоденопатия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стадия рубцевания. Болезнь Крона? Биопсия на морфологию. </w:t>
      </w:r>
    </w:p>
    <w:p w14:paraId="5DFE8694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Проведена ФКС под общим наркозом с техническими сложностями (подвижная кишка,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долихосигма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)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.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П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рибор проведен до купола слепой кишки. В просвете кишечное содержимое с примесью алой и темной крови в небольшом количестве. Частично санирована. Ампула прямой кишки свободная. Слизистая розового окрашивания, сосудистый рисунок сохранен, блестящая. Слизистая сигмовидной кишки, нисходящего отдела отечная, бугристая с гиперплазией (имеет вид "булыжной мостовой"). Складки прерывистые за счет рубцовой ткани. На стенках нисходящего отдела определяются язвенные дефекты до 1,0 см неправильной формы, края их гипертрофированы, гиперемированы. В центре язвенных дефектов грануляции, фибрин, гематин ал</w:t>
      </w:r>
      <w:r w:rsidR="001F64A0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ого и темного цвета,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взята биопсия с краев язв. Слизистая поперечной кишки розового окрашивания, треугольные складки сохранены. В области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Баугиневой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заслонки на фоне розовой слизистой определяется циркулярная рубцовая деформация, ригидность стенки кишки, гипертрофия слизистой. На фоне рубцовой ткани язвенные дефекты до 0,5 см с грануляционной тканью - взята биопсия с краев язвы. Прибор за зону стеноза провести не удалось. Заключение: Эндоскопические признаки болезни Крона, L3+L4 по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Монреальской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классификации. Стенозирующий тип. </w:t>
      </w:r>
    </w:p>
    <w:p w14:paraId="087DB768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Прижизненное патологоанатомическое исследование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биопсийного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материала: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Илеоцекальный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отдел: по одному из краёв общая структура слизистой не нарушена, в строме рыхлые эозинофильные инфильтраты с небольшим количеством плазматических клеток и лимфоцитов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;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п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о другому краю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грануляционноподобная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ткань с рыхлыми лейкоцитарными инфильтратами. Сигмовидная к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ишка: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в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одном из объектов покровный эпителий слизистой толстой кишки с фиб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ринозно-лейкоцитарными слепками;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во 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втором объекте фрагмент слизистой толстого кишечника с плотными лимфоидными инфильтратами с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немногочисленными эозинофилами;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в 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одном из полей зрения определяется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грануляционноподобная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ткань. 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Сигмовидная кишка: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в 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двух объектах слизистая толстого киш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ечника с сохранённой структурой;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в 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третьем – фрагмент язвы с пролиферацией неспецифических грануляций, на поверхности грануляций гнойные наложения. </w:t>
      </w:r>
    </w:p>
    <w:p w14:paraId="59F1C9E0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Пpоведено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лечение в отделении: режим 2, диетотерапия по столу № 1а, </w:t>
      </w:r>
      <w:proofErr w:type="spellStart"/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метронидазол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месалазин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преднизолон 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с противовоспалительной целью, </w:t>
      </w:r>
      <w:proofErr w:type="spellStart"/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этамзилат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</w:t>
      </w:r>
      <w:proofErr w:type="spellStart"/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фамотидин</w:t>
      </w:r>
      <w:proofErr w:type="spellEnd"/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, с желчегонной целью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proofErr w:type="spellStart"/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урцевел</w:t>
      </w:r>
      <w:proofErr w:type="spellEnd"/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с </w:t>
      </w:r>
      <w:proofErr w:type="spellStart"/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противоязвенной</w:t>
      </w:r>
      <w:proofErr w:type="spellEnd"/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целью</w:t>
      </w: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proofErr w:type="spellStart"/>
      <w:r w:rsidR="004E7665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витридинол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, с </w:t>
      </w:r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противовоспалительной целью </w:t>
      </w:r>
      <w:proofErr w:type="spellStart"/>
      <w:r w:rsidR="004E766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кансалазин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.</w:t>
      </w:r>
    </w:p>
    <w:p w14:paraId="2BDA7FF3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По результатам проведенного обследования пациентке установлен диагноз: </w:t>
      </w:r>
    </w:p>
    <w:p w14:paraId="4AFB2019" w14:textId="1D9BC424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lastRenderedPageBreak/>
        <w:t xml:space="preserve">Основное </w:t>
      </w:r>
      <w:proofErr w:type="spell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заболевание</w:t>
      </w:r>
      <w:proofErr w:type="gramStart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:Н</w:t>
      </w:r>
      <w:proofErr w:type="gram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еинфекционный</w:t>
      </w:r>
      <w:proofErr w:type="spellEnd"/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гастроэнтерит и колит неуточненный, впервые выявленный. Болезнь Крона? Язвенная болезнь ДПК, впервые выявленная. Ректальные свищи. Осложнение: Постгеморрагическая анемия тяжелой степени, вследствие кишечного кровотечения.  </w:t>
      </w:r>
    </w:p>
    <w:p w14:paraId="1F0B2F55" w14:textId="77777777" w:rsidR="006531B6" w:rsidRPr="005F5442" w:rsidRDefault="00DA354B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Выписана с положительным динамикой, вызов в ПИМУ на 20.05.26. </w:t>
      </w:r>
    </w:p>
    <w:p w14:paraId="0B2397F7" w14:textId="4EC40421" w:rsidR="006531B6" w:rsidRPr="005F5442" w:rsidRDefault="00282B1A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Выводы: о</w:t>
      </w:r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писанный клинический случай показывает, что данное заболевание вызывает затруднения в диагностике в амбулаторной практике педиатра. Болезнь Крона представляет собой </w:t>
      </w:r>
      <w:proofErr w:type="spellStart"/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мультифакториальное</w:t>
      </w:r>
      <w:proofErr w:type="spellEnd"/>
      <w:r w:rsidR="00DA354B" w:rsidRPr="005F5442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, хроническое, рецидивирующее заболевание желудочно-кишечного тракта, диагностика которого остается одной из наиболее сложных задач в гастроэнтерологии. Сложность обусловлена отсутствием единого патогномоничного признака и необходимостью дифференциации БК от широкого круга заболеваний.   Важно помнить, что анемия, плохо поддающаяся лечению, может быть не самостоятельным заболеванием, а маской тяжелой хронической патологии кишечника. Своевременная диагностика напрямую влияет на прогноз, позволяет избежать осложнений, обеспечить длительную ремиссию и у</w:t>
      </w:r>
      <w:r w:rsidR="00990DAE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лучшить качество жизни пациента.</w:t>
      </w:r>
    </w:p>
    <w:p w14:paraId="6F89882A" w14:textId="77777777" w:rsidR="006531B6" w:rsidRPr="005F5442" w:rsidRDefault="006D23CA" w:rsidP="00F840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</w:p>
    <w:bookmarkEnd w:id="1"/>
    <w:p w14:paraId="0A399E42" w14:textId="77777777" w:rsidR="006531B6" w:rsidRDefault="00990DAE" w:rsidP="00F840C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Список литературы </w:t>
      </w:r>
    </w:p>
    <w:p w14:paraId="5F790C23" w14:textId="77777777" w:rsidR="00990DAE" w:rsidRPr="005F5442" w:rsidRDefault="00990DAE" w:rsidP="00F840C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</w:p>
    <w:p w14:paraId="41D38377" w14:textId="77777777" w:rsidR="006531B6" w:rsidRPr="00990DAE" w:rsidRDefault="00DA354B" w:rsidP="00F840C6">
      <w:pPr>
        <w:tabs>
          <w:tab w:val="num" w:pos="720"/>
        </w:tabs>
        <w:spacing w:line="240" w:lineRule="auto"/>
        <w:ind w:left="7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990DAE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1. Клинические рекомендации «Болезнь Крона у детей», Союз педиатров России, 2024 </w:t>
      </w:r>
    </w:p>
    <w:p w14:paraId="6A674385" w14:textId="77777777" w:rsidR="006531B6" w:rsidRPr="00990DAE" w:rsidRDefault="00990DAE" w:rsidP="00F840C6">
      <w:pPr>
        <w:tabs>
          <w:tab w:val="num" w:pos="720"/>
        </w:tabs>
        <w:spacing w:line="240" w:lineRule="auto"/>
        <w:ind w:left="7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ligatures w14:val="none"/>
        </w:rPr>
      </w:pPr>
      <w:r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2. </w:t>
      </w:r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Корниенко Е. А., Хавкин А. И., Федулова Е. Н., Волынец Г. В., </w:t>
      </w:r>
      <w:proofErr w:type="spellStart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Габрусская</w:t>
      </w:r>
      <w:proofErr w:type="spellEnd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Т. В., Скворцова Т. А., Никитин А. В., </w:t>
      </w:r>
      <w:proofErr w:type="spellStart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Сорвачева</w:t>
      </w:r>
      <w:proofErr w:type="spellEnd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Т. Н., </w:t>
      </w:r>
      <w:proofErr w:type="spellStart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Цимбалова</w:t>
      </w:r>
      <w:proofErr w:type="spellEnd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Е. Г., Щербакова О. В. Проект рекомендаций российского общества детских гастроэнтерологов, </w:t>
      </w:r>
      <w:proofErr w:type="spellStart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гепатологов</w:t>
      </w:r>
      <w:proofErr w:type="spellEnd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и </w:t>
      </w:r>
      <w:proofErr w:type="spellStart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>нутрициологов</w:t>
      </w:r>
      <w:proofErr w:type="spellEnd"/>
      <w:r w:rsidR="00DA354B" w:rsidRPr="00240FC5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 по диагностике и лечению болезни Крона у детей. </w:t>
      </w:r>
      <w:proofErr w:type="spellStart"/>
      <w:r w:rsidR="00DA354B" w:rsidRPr="00990DAE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ligatures w14:val="none"/>
        </w:rPr>
        <w:t>Экспериментальная</w:t>
      </w:r>
      <w:proofErr w:type="spellEnd"/>
      <w:r w:rsidR="00DA354B" w:rsidRPr="00990DAE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ligatures w14:val="none"/>
        </w:rPr>
        <w:t xml:space="preserve"> и </w:t>
      </w:r>
      <w:proofErr w:type="spellStart"/>
      <w:r w:rsidR="00DA354B" w:rsidRPr="00990DAE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ligatures w14:val="none"/>
        </w:rPr>
        <w:t>клиническая</w:t>
      </w:r>
      <w:proofErr w:type="spellEnd"/>
      <w:r w:rsidR="00DA354B" w:rsidRPr="00990DAE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ligatures w14:val="none"/>
        </w:rPr>
        <w:t xml:space="preserve"> </w:t>
      </w:r>
      <w:proofErr w:type="spellStart"/>
      <w:r w:rsidR="00DA354B" w:rsidRPr="00990DAE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ligatures w14:val="none"/>
        </w:rPr>
        <w:t>гастроэнтерология</w:t>
      </w:r>
      <w:proofErr w:type="spellEnd"/>
      <w:r w:rsidR="00DA354B" w:rsidRPr="00990DAE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ligatures w14:val="none"/>
        </w:rPr>
        <w:t>. 2019;171(11): 100–134.</w:t>
      </w:r>
    </w:p>
    <w:sectPr w:rsidR="006531B6" w:rsidRPr="00990DAE" w:rsidSect="00990DAE">
      <w:pgSz w:w="11907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D45F6" w14:textId="77777777" w:rsidR="006D23CA" w:rsidRDefault="006D23CA" w:rsidP="005F5442">
      <w:pPr>
        <w:spacing w:line="240" w:lineRule="auto"/>
      </w:pPr>
      <w:r>
        <w:separator/>
      </w:r>
    </w:p>
  </w:endnote>
  <w:endnote w:type="continuationSeparator" w:id="0">
    <w:p w14:paraId="31FCB7CA" w14:textId="77777777" w:rsidR="006D23CA" w:rsidRDefault="006D23CA" w:rsidP="005F5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248CD" w14:textId="77777777" w:rsidR="006D23CA" w:rsidRDefault="006D23CA" w:rsidP="005F5442">
      <w:pPr>
        <w:spacing w:line="240" w:lineRule="auto"/>
      </w:pPr>
      <w:r>
        <w:separator/>
      </w:r>
    </w:p>
  </w:footnote>
  <w:footnote w:type="continuationSeparator" w:id="0">
    <w:p w14:paraId="346DAF6C" w14:textId="77777777" w:rsidR="006D23CA" w:rsidRDefault="006D23CA" w:rsidP="005F54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4B"/>
    <w:rsid w:val="00037211"/>
    <w:rsid w:val="000574C5"/>
    <w:rsid w:val="00097F03"/>
    <w:rsid w:val="001D066D"/>
    <w:rsid w:val="001F64A0"/>
    <w:rsid w:val="00240FC5"/>
    <w:rsid w:val="00282B1A"/>
    <w:rsid w:val="002E2720"/>
    <w:rsid w:val="00304404"/>
    <w:rsid w:val="003C3147"/>
    <w:rsid w:val="00442140"/>
    <w:rsid w:val="004C3D8A"/>
    <w:rsid w:val="004E7665"/>
    <w:rsid w:val="00586015"/>
    <w:rsid w:val="005F5442"/>
    <w:rsid w:val="00666887"/>
    <w:rsid w:val="006D23CA"/>
    <w:rsid w:val="006F0388"/>
    <w:rsid w:val="00733913"/>
    <w:rsid w:val="007A0699"/>
    <w:rsid w:val="008674AD"/>
    <w:rsid w:val="008D1901"/>
    <w:rsid w:val="0093761F"/>
    <w:rsid w:val="00990DAE"/>
    <w:rsid w:val="00A1393F"/>
    <w:rsid w:val="00AE064B"/>
    <w:rsid w:val="00AF2BB4"/>
    <w:rsid w:val="00B86808"/>
    <w:rsid w:val="00C76CBC"/>
    <w:rsid w:val="00CF2D21"/>
    <w:rsid w:val="00DA354B"/>
    <w:rsid w:val="00DD3A5E"/>
    <w:rsid w:val="00EC62B1"/>
    <w:rsid w:val="00F25C03"/>
    <w:rsid w:val="00F840C6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D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header"/>
    <w:basedOn w:val="a"/>
    <w:link w:val="a8"/>
    <w:unhideWhenUsed/>
    <w:rsid w:val="005F544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5F5442"/>
  </w:style>
  <w:style w:type="paragraph" w:styleId="a9">
    <w:name w:val="footer"/>
    <w:basedOn w:val="a"/>
    <w:link w:val="aa"/>
    <w:unhideWhenUsed/>
    <w:rsid w:val="005F544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rsid w:val="005F5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header"/>
    <w:basedOn w:val="a"/>
    <w:link w:val="a8"/>
    <w:unhideWhenUsed/>
    <w:rsid w:val="005F544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5F5442"/>
  </w:style>
  <w:style w:type="paragraph" w:styleId="a9">
    <w:name w:val="footer"/>
    <w:basedOn w:val="a"/>
    <w:link w:val="aa"/>
    <w:unhideWhenUsed/>
    <w:rsid w:val="005F544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rsid w:val="005F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F55720-5420-4CC2-B301-6A455711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1210</Words>
  <Characters>7640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Ильичев</dc:creator>
  <cp:lastModifiedBy>Admin</cp:lastModifiedBy>
  <cp:revision>17</cp:revision>
  <dcterms:created xsi:type="dcterms:W3CDTF">2026-03-10T14:00:00Z</dcterms:created>
  <dcterms:modified xsi:type="dcterms:W3CDTF">2026-03-22T07:24:00Z</dcterms:modified>
</cp:coreProperties>
</file>