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E315C" w14:textId="77777777" w:rsidR="00543E47" w:rsidRPr="00543E47" w:rsidRDefault="00543E47" w:rsidP="00543E47">
      <w:pPr>
        <w:spacing w:after="0"/>
        <w:ind w:firstLine="709"/>
        <w:jc w:val="both"/>
      </w:pPr>
      <w:r w:rsidRPr="00543E47">
        <w:rPr>
          <w:b/>
          <w:bCs/>
        </w:rPr>
        <w:t>«Эффективность использования внебюджетных средств в муниципальных школах: анализ финансовой прозрачности и контроля в г. Ульяновске»</w:t>
      </w:r>
    </w:p>
    <w:p w14:paraId="33A851B1" w14:textId="77777777" w:rsidR="00543E47" w:rsidRPr="00543E47" w:rsidRDefault="00543E47" w:rsidP="00543E47">
      <w:pPr>
        <w:spacing w:after="0"/>
        <w:ind w:firstLine="709"/>
        <w:jc w:val="both"/>
      </w:pPr>
      <w:r w:rsidRPr="00543E47">
        <w:rPr>
          <w:b/>
          <w:bCs/>
        </w:rPr>
        <w:t>1. Актуальность и значение внебюджетных средств</w:t>
      </w:r>
      <w:r w:rsidRPr="00543E47">
        <w:br/>
        <w:t>Внебюджетные средства в муниципальных школах Ульяновска выступают важным дополнением к бюджетному финансированию, позволяя восполнять дефицит ресурсов, обновлять материально-техническую базу, внедрять инновационные программы и поддерживать внеурочную деятельность. Эффективность их использования напрямую зависит от прозрачности финансовых операций и системы контроля.</w:t>
      </w:r>
    </w:p>
    <w:p w14:paraId="5B52C0C6" w14:textId="77777777" w:rsidR="00543E47" w:rsidRPr="00543E47" w:rsidRDefault="00543E47" w:rsidP="00543E47">
      <w:pPr>
        <w:spacing w:after="0"/>
        <w:ind w:firstLine="709"/>
        <w:jc w:val="both"/>
      </w:pPr>
      <w:r w:rsidRPr="00543E47">
        <w:rPr>
          <w:b/>
          <w:bCs/>
        </w:rPr>
        <w:t>2. Лучшие практики управления внебюджетными средствами</w:t>
      </w:r>
      <w:r w:rsidRPr="00543E47">
        <w:br/>
        <w:t>Успешные муниципальные практики (в т.ч. победители всероссийского конкурса) включают:</w:t>
      </w:r>
      <w:r w:rsidRPr="00543E47">
        <w:br/>
        <w:t>– трёхлетнее бюджетирование и долгосрочное планирование;</w:t>
      </w:r>
      <w:r w:rsidRPr="00543E47">
        <w:br/>
        <w:t>– использование налогового и имущественного потенциала;</w:t>
      </w:r>
      <w:r w:rsidRPr="00543E47">
        <w:br/>
        <w:t>– программно-целевое и инициативное бюджетирование с участием граждан;</w:t>
      </w:r>
      <w:r w:rsidRPr="00543E47">
        <w:br/>
        <w:t>– автоматизацию учёта доходов и совместные закупки.</w:t>
      </w:r>
      <w:r w:rsidRPr="00543E47">
        <w:br/>
        <w:t>Пример города Когалыма демонстрирует финансовую стабильность благодаря сбалансированному бюджету и отсутствию долга.</w:t>
      </w:r>
    </w:p>
    <w:p w14:paraId="10BA6518" w14:textId="77777777" w:rsidR="00543E47" w:rsidRPr="00543E47" w:rsidRDefault="00543E47" w:rsidP="00543E47">
      <w:pPr>
        <w:spacing w:after="0"/>
        <w:ind w:firstLine="709"/>
        <w:jc w:val="both"/>
      </w:pPr>
      <w:r w:rsidRPr="00543E47">
        <w:rPr>
          <w:b/>
          <w:bCs/>
        </w:rPr>
        <w:t>3. Перспективы развития финансового контроля и прозрачности</w:t>
      </w:r>
      <w:r w:rsidRPr="00543E47">
        <w:br/>
        <w:t>Ключевые направления:</w:t>
      </w:r>
      <w:r w:rsidRPr="00543E47">
        <w:br/>
        <w:t>– создание единой научно обоснованной методологической и нормативно-правовой базы, интегрирующей государственный, аудиторский и общественный контроль;</w:t>
      </w:r>
      <w:r w:rsidRPr="00543E47">
        <w:br/>
        <w:t>– адаптация зарубежного опыта и международных стандартов;</w:t>
      </w:r>
      <w:r w:rsidRPr="00543E47">
        <w:br/>
        <w:t>– внедрение цифровых технологий (автоматизированный мониторинг, открытые базы данных);</w:t>
      </w:r>
      <w:r w:rsidRPr="00543E47">
        <w:br/>
        <w:t>– переход к скоординированной системе контроля, снижающей коррупционные риски и повышающей эффективность управления ресурсами.</w:t>
      </w:r>
    </w:p>
    <w:p w14:paraId="59C4F22E" w14:textId="77777777" w:rsidR="00543E47" w:rsidRPr="00543E47" w:rsidRDefault="00543E47" w:rsidP="00543E47">
      <w:pPr>
        <w:spacing w:after="0"/>
        <w:ind w:firstLine="709"/>
        <w:jc w:val="both"/>
      </w:pPr>
      <w:r w:rsidRPr="00543E47">
        <w:rPr>
          <w:b/>
          <w:bCs/>
        </w:rPr>
        <w:t>4. Основы финансово-хозяйственной деятельности муниципальных школ</w:t>
      </w:r>
      <w:r w:rsidRPr="00543E47">
        <w:br/>
        <w:t>Деятельность регулируется Приказами Минфина №186н и №92н. План финансово-хозяйственной деятельности (ПФХД) – основной инструмент планирования. Школы имеют самостоятельность: собственный баланс, лицевые счета, имущество на праве оперативного управления. Внебюджетные средства поступают от приносящей доход деятельности (платные услуги, аренда, благотворительность) и остаются в распоряжении учреждения, что обеспечивает гибкость реагирования на местные потребности.</w:t>
      </w:r>
    </w:p>
    <w:p w14:paraId="738BABD8" w14:textId="77777777" w:rsidR="00543E47" w:rsidRPr="00543E47" w:rsidRDefault="00543E47" w:rsidP="00543E47">
      <w:pPr>
        <w:spacing w:after="0"/>
        <w:ind w:firstLine="709"/>
        <w:jc w:val="both"/>
      </w:pPr>
      <w:r w:rsidRPr="00543E47">
        <w:rPr>
          <w:b/>
          <w:bCs/>
        </w:rPr>
        <w:t>5. Роль внебюджетных средств в финансировании</w:t>
      </w:r>
      <w:r w:rsidRPr="00543E47">
        <w:br/>
        <w:t>Внебюджетные доходы делятся на:</w:t>
      </w:r>
      <w:r w:rsidRPr="00543E47">
        <w:br/>
        <w:t>– от основной деятельности (платные образовательные услуги, научные работы);</w:t>
      </w:r>
      <w:r w:rsidRPr="00543E47">
        <w:br/>
        <w:t>– от прочей деятельности (аренда, мероприятия, благотворительные взносы).</w:t>
      </w:r>
      <w:r w:rsidRPr="00543E47">
        <w:br/>
        <w:t xml:space="preserve">Целевые поступления требуют отдельного учёта и строгого расходования по сметам. Налоговое регулирование различает предпринимательскую </w:t>
      </w:r>
      <w:r w:rsidRPr="00543E47">
        <w:lastRenderedPageBreak/>
        <w:t>деятельность (облагается налогом) и целевые взносы (не облагаются). Внебюджетные средства расширяют возможности школ, повышают их престиж и удовлетворённость родителей.</w:t>
      </w:r>
    </w:p>
    <w:p w14:paraId="504C7534" w14:textId="1D3F96CD" w:rsidR="00543E47" w:rsidRPr="00543E47" w:rsidRDefault="00543E47" w:rsidP="00543E47">
      <w:pPr>
        <w:spacing w:after="0"/>
        <w:ind w:firstLine="709"/>
        <w:jc w:val="both"/>
      </w:pPr>
      <w:r w:rsidRPr="00543E47">
        <w:rPr>
          <w:b/>
          <w:bCs/>
        </w:rPr>
        <w:t>6. Анализ структуры доходов и расходов на примере лицея №101 г. Ульяновска</w:t>
      </w:r>
      <w:r w:rsidRPr="00543E47">
        <w:br/>
        <w:t>В лицее применяется кассовый метод учёта (Приказ №81н). Используются счета:</w:t>
      </w:r>
      <w:r w:rsidRPr="00543E47">
        <w:br/>
        <w:t>–504.00–плановые</w:t>
      </w:r>
      <w:r>
        <w:t xml:space="preserve"> </w:t>
      </w:r>
      <w:r w:rsidRPr="00543E47">
        <w:t>назначения;</w:t>
      </w:r>
      <w:r w:rsidRPr="00543E47">
        <w:br/>
        <w:t>–507.00–</w:t>
      </w:r>
      <w:proofErr w:type="spellStart"/>
      <w:r w:rsidRPr="00543E47">
        <w:t>непоступившие</w:t>
      </w:r>
      <w:proofErr w:type="spellEnd"/>
      <w:r w:rsidRPr="00543E47">
        <w:t xml:space="preserve"> средства;</w:t>
      </w:r>
      <w:r w:rsidRPr="00543E47">
        <w:br/>
        <w:t>–508.00–фактические поступления;</w:t>
      </w:r>
      <w:r w:rsidRPr="00543E47">
        <w:br/>
        <w:t>–506.00–право на принятие обязательств.</w:t>
      </w:r>
      <w:r w:rsidRPr="00543E47">
        <w:br/>
        <w:t>Программный комплекс «1С: Бухгалтерия ГУ 8» обеспечивает детализацию статей. Расходы делятся на прямые, накладные, общехозяйственные. Внебюджетные средства интегрируются в ПФХД с кодами КОСГУ, что повышает устойчивость финансирования и позволяет реализовывать дополнительные программы.</w:t>
      </w:r>
    </w:p>
    <w:p w14:paraId="20392FEC" w14:textId="15FAF6FF" w:rsidR="00543E47" w:rsidRPr="00543E47" w:rsidRDefault="00543E47" w:rsidP="00543E47">
      <w:pPr>
        <w:spacing w:after="0"/>
        <w:ind w:firstLine="709"/>
        <w:jc w:val="both"/>
      </w:pPr>
      <w:r w:rsidRPr="00543E47">
        <w:rPr>
          <w:b/>
          <w:bCs/>
        </w:rPr>
        <w:t>7. Механизмы контроля использования внебюджетных средств</w:t>
      </w:r>
      <w:r w:rsidRPr="00543E47">
        <w:br/>
        <w:t>Контроль базируется на Гражданском кодексе, законе «Об образовании», внутренних положениях школ. Включает:</w:t>
      </w:r>
      <w:r w:rsidRPr="00543E47">
        <w:br/>
        <w:t>–отчётность руководителя перед учредителем и родителями;</w:t>
      </w:r>
      <w:r w:rsidRPr="00543E47">
        <w:br/>
        <w:t>–проверки контрольно-счётных органов г. Ульяновска (законность, эффективность);</w:t>
      </w:r>
      <w:r w:rsidRPr="00543E47">
        <w:br/>
        <w:t>–внутренний аудит (бухгалтерский учёт, документооборот) и внешние ревизии;</w:t>
      </w:r>
      <w:r w:rsidRPr="00543E47">
        <w:br/>
        <w:t>–участие управляющих советов.</w:t>
      </w:r>
      <w:r w:rsidRPr="00543E47">
        <w:br/>
        <w:t>Запрещены сборы с родителей под угрозой отказа в приёме детей, а также вовлечение учащихся в финансовые отношения.</w:t>
      </w:r>
    </w:p>
    <w:p w14:paraId="4CF03704" w14:textId="77777777" w:rsidR="00543E47" w:rsidRPr="00543E47" w:rsidRDefault="00543E47" w:rsidP="00543E47">
      <w:pPr>
        <w:spacing w:after="0"/>
        <w:ind w:firstLine="709"/>
        <w:jc w:val="both"/>
      </w:pPr>
      <w:r w:rsidRPr="00543E47">
        <w:rPr>
          <w:b/>
          <w:bCs/>
        </w:rPr>
        <w:t>8. Финансовая прозрачность как фактор доверия</w:t>
      </w:r>
      <w:r w:rsidRPr="00543E47">
        <w:br/>
        <w:t>Принцип прозрачности (ст. 36 БК РФ) требует публикации бюджетов и отчётов. Нормативно-подушевое финансирование делает распределение средств понятным для общества. Единый портал бюджетной системы и другие информационные ресурсы обеспечивают доступ к данным. Прозрачность снижает коррупционные риски, укрепляет доверие родителей и партнёров, способствует устойчивому развитию школ.</w:t>
      </w:r>
    </w:p>
    <w:p w14:paraId="367B7CD4" w14:textId="77777777" w:rsidR="00543E47" w:rsidRPr="00543E47" w:rsidRDefault="00543E47" w:rsidP="00543E47">
      <w:pPr>
        <w:spacing w:after="0"/>
        <w:ind w:firstLine="709"/>
        <w:jc w:val="both"/>
      </w:pPr>
      <w:r w:rsidRPr="00543E47">
        <w:rPr>
          <w:b/>
          <w:bCs/>
        </w:rPr>
        <w:t>9. Проблемы и вызовы при использовании внебюджетных средств</w:t>
      </w:r>
      <w:r w:rsidRPr="00543E47">
        <w:br/>
        <w:t>Основные проблемы:</w:t>
      </w:r>
      <w:r w:rsidRPr="00543E47">
        <w:br/>
        <w:t>– нестабильность и фрагментарность поступлений, затрудняющая долгосрочное планирование;</w:t>
      </w:r>
      <w:r w:rsidRPr="00543E47">
        <w:br/>
        <w:t>– высокая административная нагрузка из-за строгих нормативных требований;</w:t>
      </w:r>
      <w:r w:rsidRPr="00543E47">
        <w:br/>
        <w:t>– отсутствие единых стандартизированных механизмов учёта и мониторинга;</w:t>
      </w:r>
      <w:r w:rsidRPr="00543E47">
        <w:br/>
        <w:t>– социальное неравенство между школами (зависимость от активности родителей);</w:t>
      </w:r>
      <w:r w:rsidRPr="00543E47">
        <w:br/>
        <w:t>– дисбаланс между целевыми взносами и реальными потребностями;</w:t>
      </w:r>
      <w:r w:rsidRPr="00543E47">
        <w:br/>
        <w:t>– дефицит квалифицированных кадров в финансовом менеджменте.</w:t>
      </w:r>
      <w:r w:rsidRPr="00543E47">
        <w:br/>
      </w:r>
      <w:r w:rsidRPr="00543E47">
        <w:lastRenderedPageBreak/>
        <w:t>Эти факторы ограничивают потенциал внебюджетного финансирования и требуют системных решений.</w:t>
      </w:r>
    </w:p>
    <w:p w14:paraId="3A70ABD4" w14:textId="35D5726F" w:rsidR="00543E47" w:rsidRPr="00543E47" w:rsidRDefault="00543E47" w:rsidP="00543E47">
      <w:pPr>
        <w:spacing w:after="0"/>
        <w:ind w:firstLine="709"/>
        <w:jc w:val="both"/>
      </w:pPr>
      <w:r w:rsidRPr="00543E47">
        <w:rPr>
          <w:b/>
          <w:bCs/>
        </w:rPr>
        <w:t>10. Заключительные выводы и рекомендации</w:t>
      </w:r>
      <w:r w:rsidRPr="00543E47">
        <w:br/>
        <w:t>Внебюджетные средства – важный инструмент развития муниципальных школ, дополняющий бюджет. Системное планирование, детализированный учёт и цифровизация повышают прозрачность и контроль. Рекомендуется:</w:t>
      </w:r>
      <w:r w:rsidRPr="00543E47">
        <w:br/>
        <w:t>– адаптировать лучшие практики (трёхлетнее бюджетирование, инициативное бюджетирование);</w:t>
      </w:r>
      <w:r w:rsidRPr="00543E47">
        <w:br/>
        <w:t>–стандартизировать процедуры учёта и отчётности;</w:t>
      </w:r>
      <w:r w:rsidRPr="00543E47">
        <w:br/>
        <w:t>–повышать квалификацию финансовых кадров;</w:t>
      </w:r>
      <w:r w:rsidRPr="00543E47">
        <w:br/>
        <w:t>–развивать общественный контроль и открытость информации.</w:t>
      </w:r>
      <w:r w:rsidRPr="00543E47">
        <w:br/>
        <w:t>Реализация этих мер укрепит финансовую устойчивость школ, повысит качество образования и доверие со стороны общества в условиях ограниченного бюджетного финансирования.</w:t>
      </w:r>
    </w:p>
    <w:p w14:paraId="1FA06083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E47"/>
    <w:rsid w:val="001428D1"/>
    <w:rsid w:val="00543E47"/>
    <w:rsid w:val="006C0B77"/>
    <w:rsid w:val="007C16F4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9E97"/>
  <w15:chartTrackingRefBased/>
  <w15:docId w15:val="{0A788D10-9D2C-4B5D-83E8-4033CF8FE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43E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3E4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E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3E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3E4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3E4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3E4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3E4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3E4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3E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3E4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3E4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43E4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43E4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43E4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43E4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43E4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43E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43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3E4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43E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3E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3E4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43E4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43E4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3E4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43E4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43E4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804</Words>
  <Characters>4584</Characters>
  <Application>Microsoft Office Word</Application>
  <DocSecurity>0</DocSecurity>
  <Lines>38</Lines>
  <Paragraphs>10</Paragraphs>
  <ScaleCrop>false</ScaleCrop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Мотовилова</dc:creator>
  <cp:keywords/>
  <dc:description/>
  <cp:lastModifiedBy>Елизавета Мотовилова</cp:lastModifiedBy>
  <cp:revision>2</cp:revision>
  <dcterms:created xsi:type="dcterms:W3CDTF">2026-04-05T09:41:00Z</dcterms:created>
  <dcterms:modified xsi:type="dcterms:W3CDTF">2026-04-05T09:44:00Z</dcterms:modified>
</cp:coreProperties>
</file>