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2AD0" w14:textId="77777777" w:rsidR="0000416A" w:rsidRPr="0000416A" w:rsidRDefault="0000416A" w:rsidP="00004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6A">
        <w:rPr>
          <w:rFonts w:ascii="Times New Roman" w:hAnsi="Times New Roman" w:cs="Times New Roman"/>
          <w:sz w:val="28"/>
          <w:szCs w:val="28"/>
        </w:rPr>
        <w:t xml:space="preserve">В условиях санкционного давления, оказываемого на российскую экономику, обеспечение экономической безопасности малых предприятий приобретает особую актуальность. Рекламная индустрия, характеризующаяся высокой зависимостью от маркетинговых бюджетов корпоративных клиентов, демонстрирует повышенную уязвимость к внешним шокам. Уход международных рекламных платформ и переориентация на отечественные </w:t>
      </w:r>
      <w:proofErr w:type="spellStart"/>
      <w:r w:rsidRPr="0000416A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00416A">
        <w:rPr>
          <w:rFonts w:ascii="Times New Roman" w:hAnsi="Times New Roman" w:cs="Times New Roman"/>
          <w:sz w:val="28"/>
          <w:szCs w:val="28"/>
        </w:rPr>
        <w:t>-решения создали новые вызовы и возможности для малых рекламных агентств. Зависимость от бюджетов крупных заказчиков и чувствительность к экономическим кризисам приводят к эффекту домино, сокращая спрос на традиционные услуги и ставя под угрозу устойчивость развития [3, с. 45].</w:t>
      </w:r>
    </w:p>
    <w:p w14:paraId="19653F89" w14:textId="77777777" w:rsidR="0000416A" w:rsidRPr="0000416A" w:rsidRDefault="0000416A" w:rsidP="00004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6A">
        <w:rPr>
          <w:rFonts w:ascii="Times New Roman" w:hAnsi="Times New Roman" w:cs="Times New Roman"/>
          <w:sz w:val="28"/>
          <w:szCs w:val="28"/>
        </w:rPr>
        <w:t>Малые предприятия в сфере услуг обладают ключевыми характеристиками, способствующими их экономической безопасности: высокой организационной гибкостью, низкой капиталоемкостью и клиентоориентированностью. Эти качества позволяют оперативно реагировать на изменения рыночной конъюнктуры, включая геополитические факторы и импортозамещение в цифровой среде. В отличие от крупных игроков, малые агентства способны быстро адаптировать бизнес-модели к новым реалиям, осваивая нишевые сегменты рынка и минимизируя риски за счет узкой специализации [2, с. 161].</w:t>
      </w:r>
    </w:p>
    <w:p w14:paraId="5C4339AB" w14:textId="77777777" w:rsidR="0000416A" w:rsidRPr="0000416A" w:rsidRDefault="0000416A" w:rsidP="00004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6A">
        <w:rPr>
          <w:rFonts w:ascii="Times New Roman" w:hAnsi="Times New Roman" w:cs="Times New Roman"/>
          <w:sz w:val="28"/>
          <w:szCs w:val="28"/>
        </w:rPr>
        <w:t xml:space="preserve">Эмпирический анализ динамики развития малых рекламных агентств в РФ за 2020–2025 гг. выявил устойчивую положительную тенденцию несмотря на санкционные ограничения. Рост оборотов малого бизнеса в 2024 г. на 18 % до 140,5 трлн руб. подтверждает адаптационный потенциал сектора. Малые предприятия формируют около 21 % ВВП страны и обеспечивают занятость более 40 % рабочей силы. Наибольший прирост числа агентств наблюдался в 2021–2023 гг. за счет цифровой трансформации и переориентации на отечественные платформы. Региональная концентрация в Центральном </w:t>
      </w:r>
      <w:r w:rsidRPr="0000416A">
        <w:rPr>
          <w:rFonts w:ascii="Times New Roman" w:hAnsi="Times New Roman" w:cs="Times New Roman"/>
          <w:sz w:val="28"/>
          <w:szCs w:val="28"/>
        </w:rPr>
        <w:lastRenderedPageBreak/>
        <w:t>федеральном округе (более 40 %) сочетается с развитием в других субъектах за счет локальных ниш. Корреляция с макроэкономическими показателями, такими как индекс потребительского доверия и объем розничной торговли, подчеркивает цикличность отрасли, усиленную санкционным давлением [3, с. 45].</w:t>
      </w:r>
    </w:p>
    <w:p w14:paraId="1A08393A" w14:textId="77777777" w:rsidR="0000416A" w:rsidRPr="0000416A" w:rsidRDefault="0000416A" w:rsidP="00004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6A">
        <w:rPr>
          <w:rFonts w:ascii="Times New Roman" w:hAnsi="Times New Roman" w:cs="Times New Roman"/>
          <w:sz w:val="28"/>
          <w:szCs w:val="28"/>
        </w:rPr>
        <w:t xml:space="preserve">Ключевыми факторами, влияющими на экономическую безопасность, выступают макроэкономические условия, включая изменения ключевой ставки ЦБ РФ, инфляцию и налоговое законодательство. Сокращение маркетинговых бюджетов в периоды нестабильности создает дополнительные риски. Однако цифровизация и развитие отечественных платформ открывают возможности для импортозамещения рекламных инструментов и перехода к </w:t>
      </w:r>
      <w:proofErr w:type="spellStart"/>
      <w:r w:rsidRPr="0000416A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00416A">
        <w:rPr>
          <w:rFonts w:ascii="Times New Roman" w:hAnsi="Times New Roman" w:cs="Times New Roman"/>
          <w:sz w:val="28"/>
          <w:szCs w:val="28"/>
        </w:rPr>
        <w:t>-маркетингу с измеримым ROI [1, с. 25].</w:t>
      </w:r>
    </w:p>
    <w:p w14:paraId="48883352" w14:textId="77777777" w:rsidR="0000416A" w:rsidRPr="0000416A" w:rsidRDefault="0000416A" w:rsidP="00004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6A">
        <w:rPr>
          <w:rFonts w:ascii="Times New Roman" w:hAnsi="Times New Roman" w:cs="Times New Roman"/>
          <w:sz w:val="28"/>
          <w:szCs w:val="28"/>
        </w:rPr>
        <w:t>Адаптационные стратегии малых предприятий включают диверсификацию услуг (</w:t>
      </w:r>
      <w:proofErr w:type="spellStart"/>
      <w:r w:rsidRPr="0000416A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00416A">
        <w:rPr>
          <w:rFonts w:ascii="Times New Roman" w:hAnsi="Times New Roman" w:cs="Times New Roman"/>
          <w:sz w:val="28"/>
          <w:szCs w:val="28"/>
        </w:rPr>
        <w:t xml:space="preserve">-маркетинг, </w:t>
      </w:r>
      <w:proofErr w:type="spellStart"/>
      <w:r w:rsidRPr="0000416A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00416A">
        <w:rPr>
          <w:rFonts w:ascii="Times New Roman" w:hAnsi="Times New Roman" w:cs="Times New Roman"/>
          <w:sz w:val="28"/>
          <w:szCs w:val="28"/>
        </w:rPr>
        <w:t xml:space="preserve">-менеджмент, контент-производство), внедрение гибких проектных моделей, аутсорсинг непрофильных функций, а также оптимизацию процессов через </w:t>
      </w:r>
      <w:proofErr w:type="spellStart"/>
      <w:r w:rsidRPr="0000416A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00416A">
        <w:rPr>
          <w:rFonts w:ascii="Times New Roman" w:hAnsi="Times New Roman" w:cs="Times New Roman"/>
          <w:sz w:val="28"/>
          <w:szCs w:val="28"/>
        </w:rPr>
        <w:t>-методологии и перекрестное обучение персонала. Переход к модели «универсального подрядчика» с полифункциональными специалистами позволяет нивелировать риски зависимости от отдельных клиентов и повысить операционную эффективность в условиях волатильности. Формирование отраслевых кластеров для совместного использования ресурсов усиливает конкурентные позиции [4, с. 111].</w:t>
      </w:r>
    </w:p>
    <w:p w14:paraId="2C25B50B" w14:textId="77777777" w:rsidR="0000416A" w:rsidRPr="0000416A" w:rsidRDefault="0000416A" w:rsidP="00004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6A">
        <w:rPr>
          <w:rFonts w:ascii="Times New Roman" w:hAnsi="Times New Roman" w:cs="Times New Roman"/>
          <w:sz w:val="28"/>
          <w:szCs w:val="28"/>
        </w:rPr>
        <w:t xml:space="preserve">Значительными барьерами роста остаются ограниченный доступ к финансовым ресурсам, конкуренция с крупными холдингами и ужесточение регуляторных требований. Преодоление этих барьеров возможно через активное использование государственных мер поддержки малого </w:t>
      </w:r>
      <w:r w:rsidRPr="0000416A">
        <w:rPr>
          <w:rFonts w:ascii="Times New Roman" w:hAnsi="Times New Roman" w:cs="Times New Roman"/>
          <w:sz w:val="28"/>
          <w:szCs w:val="28"/>
        </w:rPr>
        <w:lastRenderedPageBreak/>
        <w:t>предпринимательства: налоговых льгот, грантов, сокращения проверок и участия в госзакупках [4, с. 111].</w:t>
      </w:r>
    </w:p>
    <w:p w14:paraId="3D9F422F" w14:textId="77777777" w:rsidR="0000416A" w:rsidRPr="0000416A" w:rsidRDefault="0000416A" w:rsidP="00004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6A">
        <w:rPr>
          <w:rFonts w:ascii="Times New Roman" w:hAnsi="Times New Roman" w:cs="Times New Roman"/>
          <w:sz w:val="28"/>
          <w:szCs w:val="28"/>
        </w:rPr>
        <w:t>Таким образом, адаптационные механизмы малых рекламных агентств выступают важным инструментом обеспечения их экономической безопасности. Развитие гибридных компетенций, сочетающих креативность и технологическую грамотность, в сочетании с кластерным взаимодействием способствует повышению устойчивости сектора в условиях санкционного давления. Полученные результаты могут быть использованы для разработки рекомендаций по государственной политике поддержки малого бизнеса в высококонкурентных отраслях.</w:t>
      </w:r>
    </w:p>
    <w:p w14:paraId="3607D869" w14:textId="77777777" w:rsidR="0000416A" w:rsidRDefault="0000416A" w:rsidP="000041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F8457" w14:textId="7EF5C808" w:rsidR="0000416A" w:rsidRDefault="0000416A" w:rsidP="000041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416A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1519CB07" w14:textId="77777777" w:rsidR="0000416A" w:rsidRDefault="0000416A" w:rsidP="00004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16A">
        <w:rPr>
          <w:rFonts w:ascii="Times New Roman" w:hAnsi="Times New Roman" w:cs="Times New Roman"/>
          <w:sz w:val="28"/>
          <w:szCs w:val="28"/>
        </w:rPr>
        <w:t xml:space="preserve">Долгов </w:t>
      </w:r>
      <w:proofErr w:type="gramStart"/>
      <w:r w:rsidRPr="0000416A">
        <w:rPr>
          <w:rFonts w:ascii="Times New Roman" w:hAnsi="Times New Roman" w:cs="Times New Roman"/>
          <w:sz w:val="28"/>
          <w:szCs w:val="28"/>
        </w:rPr>
        <w:t>А.А.</w:t>
      </w:r>
      <w:proofErr w:type="gramEnd"/>
      <w:r w:rsidRPr="0000416A">
        <w:rPr>
          <w:rFonts w:ascii="Times New Roman" w:hAnsi="Times New Roman" w:cs="Times New Roman"/>
          <w:sz w:val="28"/>
          <w:szCs w:val="28"/>
        </w:rPr>
        <w:t xml:space="preserve"> Тенденции и перспективы развития рекламного рынка // Современная наука: актуальные проблемы теории и практики. Серия: Экономика и Право. — 2023. — №7. — С. 25–28. </w:t>
      </w:r>
    </w:p>
    <w:p w14:paraId="7968EB3F" w14:textId="77777777" w:rsidR="0000416A" w:rsidRDefault="0000416A" w:rsidP="00004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416A">
        <w:rPr>
          <w:rFonts w:ascii="Times New Roman" w:hAnsi="Times New Roman" w:cs="Times New Roman"/>
          <w:sz w:val="28"/>
          <w:szCs w:val="28"/>
        </w:rPr>
        <w:t xml:space="preserve">Куц И.В. Барьеры на пути развития малого бизнеса в российских регионах // Вопросы экономики и права. — 2011. — №1. — С. 161–165. </w:t>
      </w:r>
    </w:p>
    <w:p w14:paraId="618FBA1F" w14:textId="77777777" w:rsidR="0000416A" w:rsidRDefault="0000416A" w:rsidP="00004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0416A">
        <w:rPr>
          <w:rFonts w:ascii="Times New Roman" w:hAnsi="Times New Roman" w:cs="Times New Roman"/>
          <w:sz w:val="28"/>
          <w:szCs w:val="28"/>
        </w:rPr>
        <w:t>Салькина</w:t>
      </w:r>
      <w:proofErr w:type="spellEnd"/>
      <w:r w:rsidRPr="0000416A">
        <w:rPr>
          <w:rFonts w:ascii="Times New Roman" w:hAnsi="Times New Roman" w:cs="Times New Roman"/>
          <w:sz w:val="28"/>
          <w:szCs w:val="28"/>
        </w:rPr>
        <w:t xml:space="preserve"> А.Р., </w:t>
      </w:r>
      <w:proofErr w:type="spellStart"/>
      <w:r w:rsidRPr="0000416A">
        <w:rPr>
          <w:rFonts w:ascii="Times New Roman" w:hAnsi="Times New Roman" w:cs="Times New Roman"/>
          <w:sz w:val="28"/>
          <w:szCs w:val="28"/>
        </w:rPr>
        <w:t>Драницына</w:t>
      </w:r>
      <w:proofErr w:type="spellEnd"/>
      <w:r w:rsidRPr="0000416A">
        <w:rPr>
          <w:rFonts w:ascii="Times New Roman" w:hAnsi="Times New Roman" w:cs="Times New Roman"/>
          <w:sz w:val="28"/>
          <w:szCs w:val="28"/>
        </w:rPr>
        <w:t xml:space="preserve"> Е.Г. Развитие малых предприятий в условиях макроэкономической нестабильности // Фундаментальные исследования. — 2025. — №8. — С. 43–47. </w:t>
      </w:r>
    </w:p>
    <w:p w14:paraId="21BAE117" w14:textId="2ED16C32" w:rsidR="0000416A" w:rsidRPr="0000416A" w:rsidRDefault="0000416A" w:rsidP="00004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0416A">
        <w:rPr>
          <w:rFonts w:ascii="Times New Roman" w:hAnsi="Times New Roman" w:cs="Times New Roman"/>
          <w:sz w:val="28"/>
          <w:szCs w:val="28"/>
        </w:rPr>
        <w:t xml:space="preserve">Шевченко </w:t>
      </w:r>
      <w:proofErr w:type="gramStart"/>
      <w:r w:rsidRPr="0000416A">
        <w:rPr>
          <w:rFonts w:ascii="Times New Roman" w:hAnsi="Times New Roman" w:cs="Times New Roman"/>
          <w:sz w:val="28"/>
          <w:szCs w:val="28"/>
        </w:rPr>
        <w:t>Е.В.</w:t>
      </w:r>
      <w:proofErr w:type="gramEnd"/>
      <w:r w:rsidRPr="0000416A">
        <w:rPr>
          <w:rFonts w:ascii="Times New Roman" w:hAnsi="Times New Roman" w:cs="Times New Roman"/>
          <w:sz w:val="28"/>
          <w:szCs w:val="28"/>
        </w:rPr>
        <w:t>, Колодяжная О.В. Анализ состояния и перспектив развития малого предпринимательства в России // Век качества. — 2021. — №3. — С. 108–121.</w:t>
      </w:r>
    </w:p>
    <w:p w14:paraId="38CE2847" w14:textId="77777777" w:rsidR="00DA0858" w:rsidRDefault="00DA0858"/>
    <w:sectPr w:rsidR="00DA0858" w:rsidSect="00D053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72661"/>
    <w:multiLevelType w:val="hybridMultilevel"/>
    <w:tmpl w:val="403EDD1E"/>
    <w:lvl w:ilvl="0" w:tplc="84182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998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A4"/>
    <w:rsid w:val="0000416A"/>
    <w:rsid w:val="00542E20"/>
    <w:rsid w:val="00803511"/>
    <w:rsid w:val="00AB008A"/>
    <w:rsid w:val="00D053E2"/>
    <w:rsid w:val="00DA0858"/>
    <w:rsid w:val="00EB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E697"/>
  <w15:chartTrackingRefBased/>
  <w15:docId w15:val="{F01E87DB-6B94-44EE-8B3B-9727DBB2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1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1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1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1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1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1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1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1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11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11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1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gsalifanov@list.ru</dc:creator>
  <cp:keywords/>
  <dc:description/>
  <cp:lastModifiedBy>gsalifanov@list.ru</cp:lastModifiedBy>
  <cp:revision>2</cp:revision>
  <dcterms:created xsi:type="dcterms:W3CDTF">2026-04-05T13:26:00Z</dcterms:created>
  <dcterms:modified xsi:type="dcterms:W3CDTF">2026-04-05T13:28:00Z</dcterms:modified>
</cp:coreProperties>
</file>