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Теория человеческого капитала в условиях цифровой трансформации экономики</w:t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Джабраилова Элина Ахмедовна </w:t>
      </w:r>
    </w:p>
    <w:p w:rsidR="00000000" w:rsidDel="00000000" w:rsidP="00000000" w:rsidRDefault="00000000" w:rsidRPr="00000000" w14:paraId="00000004">
      <w:pPr>
        <w:spacing w:after="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Студентка</w:t>
      </w:r>
    </w:p>
    <w:p w:rsidR="00000000" w:rsidDel="00000000" w:rsidP="00000000" w:rsidRDefault="00000000" w:rsidRPr="00000000" w14:paraId="00000005">
      <w:pPr>
        <w:spacing w:after="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Факультета государственного управления, Чеченский государственный университет им. А. А. Кадырова, Грозный, Россия</w:t>
      </w:r>
    </w:p>
    <w:p w:rsidR="00000000" w:rsidDel="00000000" w:rsidP="00000000" w:rsidRDefault="00000000" w:rsidRPr="00000000" w14:paraId="00000006">
      <w:pPr>
        <w:spacing w:after="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E-mail:</w:t>
      </w:r>
      <w:r w:rsidDel="00000000" w:rsidR="00000000" w:rsidRPr="00000000">
        <w:rPr>
          <w:sz w:val="24"/>
          <w:szCs w:val="24"/>
          <w:rtl w:val="0"/>
        </w:rPr>
        <w:t xml:space="preserve"> eayllinn@gmail.com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Rule="auto"/>
        <w:ind w:firstLine="709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Rule="auto"/>
        <w:ind w:firstLine="709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 современных условиях цифровой трансформации экономики роль человеческого капитала меняется: традиционная совокупность знаний и навыков от формального образования дополняется цифровыми, когнитивными, социальными и адаптивными компетенциями. </w:t>
      </w:r>
    </w:p>
    <w:p w:rsidR="00000000" w:rsidDel="00000000" w:rsidP="00000000" w:rsidRDefault="00000000" w:rsidRPr="00000000" w14:paraId="00000009">
      <w:pPr>
        <w:spacing w:after="0" w:lineRule="auto"/>
        <w:ind w:firstLine="709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Цифровизация процессов требует умения работать с данными, цифровыми инструментами, быстро обучаться и адаптироваться. Автоматизация и gig economy снижают спрос на рутинный труд, повышая ценность творческих, аналитических и междисциплинарных навыков, формируя ядро «нового» человеческого капитала.</w:t>
      </w:r>
    </w:p>
    <w:p w:rsidR="00000000" w:rsidDel="00000000" w:rsidP="00000000" w:rsidRDefault="00000000" w:rsidRPr="00000000" w14:paraId="0000000A">
      <w:pPr>
        <w:spacing w:after="0" w:lineRule="auto"/>
        <w:ind w:firstLine="709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Обновление теории — научно значимая и практическая задача для политик образования, занятости и инноваций. Исследования [1-5] последних лет иллюстрируют стратегическое значение «цифрового человеческого капитала», роль soft/meta skills, lifelong learning и цифровую инклюзию.</w:t>
      </w:r>
    </w:p>
    <w:p w:rsidR="00000000" w:rsidDel="00000000" w:rsidP="00000000" w:rsidRDefault="00000000" w:rsidRPr="00000000" w14:paraId="0000000B">
      <w:pPr>
        <w:spacing w:after="0" w:lineRule="auto"/>
        <w:ind w:firstLine="709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Цель статьи — обобщить трансформацию концепции человеческого капитала в цифровой экономике, выявить признаки цифрового человеческого капитала и роль цифровых навыков, непрерывного обучения, soft/meta skills как ключевых составляющих конкурентоспособности.</w:t>
      </w:r>
    </w:p>
    <w:p w:rsidR="00000000" w:rsidDel="00000000" w:rsidP="00000000" w:rsidRDefault="00000000" w:rsidRPr="00000000" w14:paraId="0000000C">
      <w:pPr>
        <w:spacing w:after="0" w:lineRule="auto"/>
        <w:ind w:firstLine="709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Эволюция теории. Теория человеческого капитала зародилась в XVIII в. (У. Петти, А. Смит), но оформилась в 1950–1970-х: Т. Шульц обосновал его как источник роста, Г. Беккер предложил модель инвестиций в образование и здоровье для повышения производительности. В постиндустриальную эпоху он стал стратегическим ресурсом экономики знаний. С 2010-х под влиянием цифровизации, ИИ и Индустрии 4.0 появились понятия цифрового человеческого капитала, lifelong learning и цифровой инклюзии, с акцентом на адаптивность и технологии.</w:t>
      </w:r>
    </w:p>
    <w:p w:rsidR="00000000" w:rsidDel="00000000" w:rsidP="00000000" w:rsidRDefault="00000000" w:rsidRPr="00000000" w14:paraId="0000000D">
      <w:pPr>
        <w:spacing w:after="0" w:lineRule="auto"/>
        <w:ind w:firstLine="709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Ключевые признаки цифрового человеческого капитала. Цифровой человеческий капитал эволюционирует от традиционного (hard skills, формальное образование) к динамичному: цифровая грамотность, data literacy, AI-компетенции, soft skills (адаптивность, креативность, эмоциональный интеллект). Данные — новый актив; работники становятся субъектами инноваций. Непрерывное обучение обязательно из-за обесценивания навыков за 2–5 лет; инвестиции через MOOC, Ed-Tech, корпоративные LMS.</w:t>
      </w:r>
    </w:p>
    <w:p w:rsidR="00000000" w:rsidDel="00000000" w:rsidP="00000000" w:rsidRDefault="00000000" w:rsidRPr="00000000" w14:paraId="0000000E">
      <w:pPr>
        <w:spacing w:after="0" w:lineRule="auto"/>
        <w:ind w:firstLine="709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Приведем сравнительную таблицу признаков традиционного человеческого капитала и человеческого капитала цифровой экономики (табл. 1). </w:t>
      </w:r>
    </w:p>
    <w:p w:rsidR="00000000" w:rsidDel="00000000" w:rsidP="00000000" w:rsidRDefault="00000000" w:rsidRPr="00000000" w14:paraId="0000000F">
      <w:pPr>
        <w:spacing w:after="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Таблица 1. Сравнительная таблица традиционного и цифрового человеческого капитала</w:t>
      </w:r>
    </w:p>
    <w:tbl>
      <w:tblPr>
        <w:tblStyle w:val="Table1"/>
        <w:tblW w:w="934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63"/>
        <w:gridCol w:w="3261"/>
        <w:gridCol w:w="3820"/>
        <w:tblGridChange w:id="0">
          <w:tblGrid>
            <w:gridCol w:w="2263"/>
            <w:gridCol w:w="3261"/>
            <w:gridCol w:w="3820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Критерий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Традиционный человеческий капитал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Цифровой человеческий капитал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Основной фокус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Образование, профессиональные знания, опыт работы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Цифровая грамотность, способность к работе в цифровой среде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Тип навыков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Hard skills (профессионально-технические, производственные)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Digital skills, soft skills, data literacy, AI competence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Источник формирования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Формальное образование (школа, вуз, профобразование)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Постоянное обучение: онлайн-курсы, Ed-Tech, самообразование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Методы оценки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Дипломы, сертификаты, трудовой стаж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Электронные бейджи, цифровые сертификаты, портфолио, аналитика HR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Продолжительность актуальности навыков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10-15 лет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2-5 лет (из-за быстрой смены технологий)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Ключевые компетенции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Техническая квалификация, дисциплина, специализация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Адаптивность, критическое мышление, креативность, аналитика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Роль в экономике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Поддержание стабильного производства и рынка труда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Инновации, производительность, цифровая трансформация бизнеса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Признание работодателем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Уровень образования, опыт работы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Цифровая компетентность, способность к быстрому рескилингу (reskilling)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Доступность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Нередко привязан к социальному происхождению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Возможен доступ через открытые цифровые платформы, интернет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Управление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Через HR-отделы, кадровую политику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Через системы AI-рекрутинга, Ed-Tech-аналитику</w:t>
            </w:r>
          </w:p>
        </w:tc>
      </w:tr>
    </w:tbl>
    <w:p w:rsidR="00000000" w:rsidDel="00000000" w:rsidP="00000000" w:rsidRDefault="00000000" w:rsidRPr="00000000" w14:paraId="00000031">
      <w:pPr>
        <w:spacing w:after="0" w:lineRule="auto"/>
        <w:jc w:val="both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Источник: разработано автором.</w:t>
      </w:r>
    </w:p>
    <w:p w:rsidR="00000000" w:rsidDel="00000000" w:rsidP="00000000" w:rsidRDefault="00000000" w:rsidRPr="00000000" w14:paraId="00000032">
      <w:pPr>
        <w:spacing w:after="0" w:lineRule="auto"/>
        <w:ind w:firstLine="709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Цифровой человеческий капитал, как видно из таблицы 1, — эволюционная форма традиционного, адаптированная к цифровой экономике: требует гибкости, самообразования, цифровой компетентности и обеспечивает конкурентоспособность на локальном и глобальном рынках труда.</w:t>
      </w:r>
    </w:p>
    <w:p w:rsidR="00000000" w:rsidDel="00000000" w:rsidP="00000000" w:rsidRDefault="00000000" w:rsidRPr="00000000" w14:paraId="00000033">
      <w:pPr>
        <w:spacing w:after="0" w:lineRule="auto"/>
        <w:ind w:firstLine="709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Концепция человеческого капитала в цифровой трансформации глубоко меняется, адаптируясь к технологическим, экономическим и социальным реалиям. Раньше она определялась знаниями, навыками, опытом, здоровьем и мотивацией для производительности; теперь — как динамичный, гибкий ресурс с постоянным обновлением.</w:t>
      </w:r>
    </w:p>
    <w:p w:rsidR="00000000" w:rsidDel="00000000" w:rsidP="00000000" w:rsidRDefault="00000000" w:rsidRPr="00000000" w14:paraId="00000034">
      <w:pPr>
        <w:spacing w:after="0" w:lineRule="auto"/>
        <w:ind w:firstLine="709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Цифровизация меняет требования к квалификации: на передний план выходят цифровые навыки (инструменты, big data, ИИ, кибербезопасность). Без них работник теряет конкурентоспособность.</w:t>
      </w:r>
    </w:p>
    <w:p w:rsidR="00000000" w:rsidDel="00000000" w:rsidP="00000000" w:rsidRDefault="00000000" w:rsidRPr="00000000" w14:paraId="00000035">
      <w:pPr>
        <w:spacing w:after="0" w:lineRule="auto"/>
        <w:ind w:firstLine="709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Основные положения эволюции концепции</w:t>
      </w:r>
    </w:p>
    <w:p w:rsidR="00000000" w:rsidDel="00000000" w:rsidP="00000000" w:rsidRDefault="00000000" w:rsidRPr="00000000" w14:paraId="00000036">
      <w:pPr>
        <w:spacing w:after="0" w:lineRule="auto"/>
        <w:ind w:firstLine="709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</w:t>
        <w:tab/>
        <w:t xml:space="preserve">Расширение содержания: добавляются цифровые, когнитивные, социальные компетенции; ценны адаптивность, работа с технологиями, критическое мышление.</w:t>
      </w:r>
    </w:p>
    <w:p w:rsidR="00000000" w:rsidDel="00000000" w:rsidP="00000000" w:rsidRDefault="00000000" w:rsidRPr="00000000" w14:paraId="00000037">
      <w:pPr>
        <w:spacing w:after="0" w:lineRule="auto"/>
        <w:ind w:firstLine="709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</w:t>
        <w:tab/>
        <w:t xml:space="preserve">Данные — новый актив: генерация, анализ данных дают преимущество бизнесу и сотрудникам.</w:t>
      </w:r>
    </w:p>
    <w:p w:rsidR="00000000" w:rsidDel="00000000" w:rsidP="00000000" w:rsidRDefault="00000000" w:rsidRPr="00000000" w14:paraId="00000038">
      <w:pPr>
        <w:spacing w:after="0" w:lineRule="auto"/>
        <w:ind w:firstLine="709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</w:t>
        <w:tab/>
        <w:t xml:space="preserve">Драйвер инноваций: человеческий капитал — субъект изменений, определяет внедрение технологий и устойчивость экономики.</w:t>
      </w:r>
    </w:p>
    <w:p w:rsidR="00000000" w:rsidDel="00000000" w:rsidP="00000000" w:rsidRDefault="00000000" w:rsidRPr="00000000" w14:paraId="00000039">
      <w:pPr>
        <w:spacing w:after="0" w:lineRule="auto"/>
        <w:ind w:firstLine="709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</w:t>
        <w:tab/>
        <w:t xml:space="preserve">Цифровые навыки — ядро: базовые инструменты, грамотность, data-аналитика, ИИ; оценивают по взаимодействию с технологиями.</w:t>
      </w:r>
    </w:p>
    <w:p w:rsidR="00000000" w:rsidDel="00000000" w:rsidP="00000000" w:rsidRDefault="00000000" w:rsidRPr="00000000" w14:paraId="0000003A">
      <w:pPr>
        <w:spacing w:after="0" w:lineRule="auto"/>
        <w:ind w:firstLine="709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</w:t>
        <w:tab/>
        <w:t xml:space="preserve">Непрерывное обучение обязательно: lifelong learning, микро-квалификации, самообразование для адаптации к изменениям профессий и неопределённости.</w:t>
      </w:r>
    </w:p>
    <w:p w:rsidR="00000000" w:rsidDel="00000000" w:rsidP="00000000" w:rsidRDefault="00000000" w:rsidRPr="00000000" w14:paraId="0000003B">
      <w:pPr>
        <w:spacing w:after="0" w:lineRule="auto"/>
        <w:ind w:firstLine="709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</w:t>
        <w:tab/>
        <w:t xml:space="preserve">Взаимодействие с ИИ: креативность, эмоциональный интеллект дополняют технологии.</w:t>
      </w:r>
    </w:p>
    <w:p w:rsidR="00000000" w:rsidDel="00000000" w:rsidP="00000000" w:rsidRDefault="00000000" w:rsidRPr="00000000" w14:paraId="0000003C">
      <w:pPr>
        <w:spacing w:after="0" w:lineRule="auto"/>
        <w:ind w:firstLine="709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7.</w:t>
        <w:tab/>
        <w:t xml:space="preserve">Новая модель инвестиций: гос программы, Ed-Tech (MOOC, LMS), digital literacy, партнёрства бизнеса и вузов.</w:t>
      </w:r>
    </w:p>
    <w:p w:rsidR="00000000" w:rsidDel="00000000" w:rsidP="00000000" w:rsidRDefault="00000000" w:rsidRPr="00000000" w14:paraId="0000003D">
      <w:pPr>
        <w:spacing w:after="0" w:lineRule="auto"/>
        <w:ind w:firstLine="709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8.</w:t>
        <w:tab/>
        <w:t xml:space="preserve">Фокус на soft skills: лидерство, коммуникация, эмпатия — неавтоматизируемые качества.</w:t>
      </w:r>
    </w:p>
    <w:p w:rsidR="00000000" w:rsidDel="00000000" w:rsidP="00000000" w:rsidRDefault="00000000" w:rsidRPr="00000000" w14:paraId="0000003E">
      <w:pPr>
        <w:spacing w:after="0" w:lineRule="auto"/>
        <w:ind w:firstLine="709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9.</w:t>
        <w:tab/>
        <w:t xml:space="preserve">Трансформация рынка труда: исчезают рутинные профессии, нужны гибкость для новых (data аналитика, cybersecurity).</w:t>
      </w:r>
    </w:p>
    <w:p w:rsidR="00000000" w:rsidDel="00000000" w:rsidP="00000000" w:rsidRDefault="00000000" w:rsidRPr="00000000" w14:paraId="0000003F">
      <w:pPr>
        <w:spacing w:after="0" w:lineRule="auto"/>
        <w:ind w:firstLine="709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10.</w:t>
        <w:tab/>
        <w:t xml:space="preserve">Цифровая инклюзия: равный доступ к образованию и технологиям.</w:t>
      </w:r>
    </w:p>
    <w:p w:rsidR="00000000" w:rsidDel="00000000" w:rsidP="00000000" w:rsidRDefault="00000000" w:rsidRPr="00000000" w14:paraId="00000040">
      <w:pPr>
        <w:spacing w:after="0" w:lineRule="auto"/>
        <w:ind w:firstLine="709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11.</w:t>
        <w:tab/>
        <w:t xml:space="preserve">Гибкая организация труда: удалёнка, распределённые команды, time management.</w:t>
      </w:r>
    </w:p>
    <w:p w:rsidR="00000000" w:rsidDel="00000000" w:rsidP="00000000" w:rsidRDefault="00000000" w:rsidRPr="00000000" w14:paraId="00000041">
      <w:pPr>
        <w:spacing w:after="0" w:lineRule="auto"/>
        <w:ind w:firstLine="709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12.</w:t>
        <w:tab/>
        <w:t xml:space="preserve">Этика технологий: ответственные решения с учётом социальных последствий.</w:t>
      </w:r>
    </w:p>
    <w:p w:rsidR="00000000" w:rsidDel="00000000" w:rsidP="00000000" w:rsidRDefault="00000000" w:rsidRPr="00000000" w14:paraId="00000042">
      <w:pPr>
        <w:spacing w:after="0" w:lineRule="auto"/>
        <w:ind w:firstLine="709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13.</w:t>
        <w:tab/>
        <w:t xml:space="preserve">Новые оценки: цифровые бейджи, блокчейн, HR-аналитика.</w:t>
      </w:r>
    </w:p>
    <w:p w:rsidR="00000000" w:rsidDel="00000000" w:rsidP="00000000" w:rsidRDefault="00000000" w:rsidRPr="00000000" w14:paraId="00000043">
      <w:pPr>
        <w:spacing w:after="0" w:lineRule="auto"/>
        <w:ind w:firstLine="709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14.</w:t>
        <w:tab/>
        <w:t xml:space="preserve">Глобальная конкуренция: за мобильные кадры.</w:t>
      </w:r>
    </w:p>
    <w:p w:rsidR="00000000" w:rsidDel="00000000" w:rsidP="00000000" w:rsidRDefault="00000000" w:rsidRPr="00000000" w14:paraId="00000044">
      <w:pPr>
        <w:spacing w:after="0" w:lineRule="auto"/>
        <w:ind w:firstLine="709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 цифровой трансформации человеческий капитал — динамичный актив цифровых/soft навыков, адаптивности и lifelong learning. Вызов — баланс технологий и уникальных качеств; ключ — инвестиции в компетенции, инклюзию, этику для инноваций и устойчивости.</w:t>
      </w:r>
    </w:p>
    <w:p w:rsidR="00000000" w:rsidDel="00000000" w:rsidP="00000000" w:rsidRDefault="00000000" w:rsidRPr="00000000" w14:paraId="00000045">
      <w:pPr>
        <w:spacing w:after="0" w:lineRule="auto"/>
        <w:ind w:firstLine="709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Литература</w:t>
      </w:r>
    </w:p>
    <w:p w:rsidR="00000000" w:rsidDel="00000000" w:rsidP="00000000" w:rsidRDefault="00000000" w:rsidRPr="00000000" w14:paraId="00000046">
      <w:pPr>
        <w:spacing w:after="0" w:lineRule="auto"/>
        <w:ind w:firstLine="709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Rule="auto"/>
        <w:ind w:firstLine="709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 Беккер Г.С. Человеческий капитал (главы из книги) // США: ЭПИ, 1993. № 1-12</w:t>
      </w:r>
    </w:p>
    <w:p w:rsidR="00000000" w:rsidDel="00000000" w:rsidP="00000000" w:rsidRDefault="00000000" w:rsidRPr="00000000" w14:paraId="00000048">
      <w:pPr>
        <w:spacing w:after="0" w:lineRule="auto"/>
        <w:ind w:firstLine="709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 Дусаев Х.Б., Дусаева А.Х. Концептуальные основы человеческого капитала // Russian Journal of Management. 2024. №. 1. С. 13-27.</w:t>
      </w:r>
    </w:p>
    <w:p w:rsidR="00000000" w:rsidDel="00000000" w:rsidP="00000000" w:rsidRDefault="00000000" w:rsidRPr="00000000" w14:paraId="00000049">
      <w:pPr>
        <w:spacing w:after="0" w:lineRule="auto"/>
        <w:ind w:firstLine="709"/>
        <w:jc w:val="both"/>
        <w:rPr>
          <w:sz w:val="24"/>
          <w:szCs w:val="24"/>
        </w:rPr>
      </w:pPr>
      <w:bookmarkStart w:colFirst="0" w:colLast="0" w:name="_heading=h.qcf5sgfcebym" w:id="0"/>
      <w:bookmarkEnd w:id="0"/>
      <w:r w:rsidDel="00000000" w:rsidR="00000000" w:rsidRPr="00000000">
        <w:rPr>
          <w:sz w:val="24"/>
          <w:szCs w:val="24"/>
          <w:rtl w:val="0"/>
        </w:rPr>
        <w:t xml:space="preserve">3. Самородова Е.М. Взаимосвязь цифровизации общественной жизни, национального человеческого капитала и социально-экономического благополучия // Вопросы инновационной экономики. 2022. № 1. С. 25-44.</w:t>
      </w:r>
    </w:p>
    <w:p w:rsidR="00000000" w:rsidDel="00000000" w:rsidP="00000000" w:rsidRDefault="00000000" w:rsidRPr="00000000" w14:paraId="0000004A">
      <w:pPr>
        <w:spacing w:after="0" w:lineRule="auto"/>
        <w:ind w:firstLine="709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 Freiman V., Godin J., Larose F. et al. Towards a lifelong continuum of digital competencies: exploring a combination of soft-skills and digital skills development. International Technology. 6–8 March, 2017. DOI: </w:t>
      </w:r>
      <w:hyperlink r:id="rId7">
        <w:r w:rsidDel="00000000" w:rsidR="00000000" w:rsidRPr="00000000">
          <w:rPr>
            <w:color w:val="467886"/>
            <w:sz w:val="24"/>
            <w:szCs w:val="24"/>
            <w:u w:val="single"/>
            <w:rtl w:val="0"/>
          </w:rPr>
          <w:t xml:space="preserve">https://doi.org/10.21125/inted.2017.2250</w:t>
        </w:r>
      </w:hyperlink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B">
      <w:pPr>
        <w:spacing w:after="0" w:lineRule="auto"/>
        <w:ind w:firstLine="709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 Spencer E. M., Lucas B. Meta-Skills: Best practices in work-based learning A literature review. The University of Winchester. 2021. November. DOI: </w:t>
      </w:r>
      <w:hyperlink r:id="rId8">
        <w:r w:rsidDel="00000000" w:rsidR="00000000" w:rsidRPr="00000000">
          <w:rPr>
            <w:color w:val="467886"/>
            <w:sz w:val="24"/>
            <w:szCs w:val="24"/>
            <w:u w:val="single"/>
            <w:rtl w:val="0"/>
          </w:rPr>
          <w:t xml:space="preserve">https://doi.org/10.13140/RG.2.2.10399.84642</w:t>
        </w:r>
      </w:hyperlink>
      <w:r w:rsidDel="00000000" w:rsidR="00000000" w:rsidRPr="00000000">
        <w:rPr>
          <w:sz w:val="24"/>
          <w:szCs w:val="24"/>
          <w:rtl w:val="0"/>
        </w:rPr>
        <w:t xml:space="preserve"> </w:t>
      </w:r>
    </w:p>
    <w:sectPr>
      <w:pgSz w:h="16837" w:w="11905" w:orient="portrait"/>
      <w:pgMar w:bottom="1134" w:top="1134" w:left="1701" w:right="85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Play">
    <w:embedRegular w:fontKey="{00000000-0000-0000-0000-000000000000}" r:id="rId1" w:subsetted="0"/>
    <w:embedBold w:fontKey="{00000000-0000-0000-0000-000000000000}" r:id="rId2" w:subsetted="0"/>
  </w:font>
  <w:font w:name="Apto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8"/>
        <w:szCs w:val="28"/>
        <w:lang w:val="ru"/>
      </w:rPr>
    </w:rPrDefault>
    <w:pPrDefault>
      <w:pPr>
        <w:spacing w:after="160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rFonts w:ascii="Aptos" w:cs="Aptos" w:eastAsia="Aptos" w:hAnsi="Aptos"/>
      <w:color w:val="0f4761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rFonts w:ascii="Aptos" w:cs="Aptos" w:eastAsia="Aptos" w:hAnsi="Aptos"/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rFonts w:ascii="Aptos" w:cs="Aptos" w:eastAsia="Aptos" w:hAnsi="Aptos"/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rFonts w:ascii="Aptos" w:cs="Aptos" w:eastAsia="Aptos" w:hAnsi="Aptos"/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7">
    <w:name w:val="heading 7"/>
    <w:basedOn w:val="a"/>
    <w:next w:val="a"/>
    <w:link w:val="70"/>
    <w:uiPriority w:val="9"/>
    <w:semiHidden w:val="1"/>
    <w:unhideWhenUsed w:val="1"/>
    <w:qFormat w:val="1"/>
    <w:rsid w:val="00865A87"/>
    <w:pPr>
      <w:keepNext w:val="1"/>
      <w:keepLines w:val="1"/>
      <w:spacing w:after="0" w:before="40"/>
      <w:outlineLvl w:val="6"/>
    </w:pPr>
    <w:rPr>
      <w:rFonts w:asciiTheme="minorHAnsi" w:cstheme="majorBidi" w:eastAsiaTheme="majorEastAsia" w:hAnsiTheme="minorHAnsi"/>
      <w:color w:val="595959" w:themeColor="text1" w:themeTint="0000A6"/>
    </w:rPr>
  </w:style>
  <w:style w:type="paragraph" w:styleId="8">
    <w:name w:val="heading 8"/>
    <w:basedOn w:val="a"/>
    <w:next w:val="a"/>
    <w:link w:val="80"/>
    <w:uiPriority w:val="9"/>
    <w:semiHidden w:val="1"/>
    <w:unhideWhenUsed w:val="1"/>
    <w:qFormat w:val="1"/>
    <w:rsid w:val="00865A87"/>
    <w:pPr>
      <w:keepNext w:val="1"/>
      <w:keepLines w:val="1"/>
      <w:spacing w:after="0"/>
      <w:outlineLvl w:val="7"/>
    </w:pPr>
    <w:rPr>
      <w:rFonts w:asciiTheme="minorHAnsi" w:cstheme="majorBidi" w:eastAsiaTheme="majorEastAsia" w:hAnsiTheme="minorHAnsi"/>
      <w:i w:val="1"/>
      <w:iCs w:val="1"/>
      <w:color w:val="272727" w:themeColor="text1" w:themeTint="0000D8"/>
    </w:rPr>
  </w:style>
  <w:style w:type="paragraph" w:styleId="9">
    <w:name w:val="heading 9"/>
    <w:basedOn w:val="a"/>
    <w:next w:val="a"/>
    <w:link w:val="90"/>
    <w:uiPriority w:val="9"/>
    <w:semiHidden w:val="1"/>
    <w:unhideWhenUsed w:val="1"/>
    <w:qFormat w:val="1"/>
    <w:rsid w:val="00865A87"/>
    <w:pPr>
      <w:keepNext w:val="1"/>
      <w:keepLines w:val="1"/>
      <w:spacing w:after="0"/>
      <w:outlineLvl w:val="8"/>
    </w:pPr>
    <w:rPr>
      <w:rFonts w:asciiTheme="minorHAnsi" w:cstheme="majorBidi" w:eastAsiaTheme="majorEastAsia" w:hAnsiTheme="minorHAnsi"/>
      <w:color w:val="272727" w:themeColor="text1" w:themeTint="0000D8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0" w:customStyle="1">
    <w:name w:val="Заголовок 1 Знак"/>
    <w:basedOn w:val="a0"/>
    <w:link w:val="1"/>
    <w:uiPriority w:val="9"/>
    <w:rsid w:val="00865A87"/>
    <w:rPr>
      <w:rFonts w:asciiTheme="majorHAnsi" w:cstheme="majorBidi" w:eastAsiaTheme="majorEastAsia" w:hAnsiTheme="majorHAnsi"/>
      <w:color w:val="0f4761" w:themeColor="accent1" w:themeShade="0000BF"/>
      <w:kern w:val="0"/>
      <w:sz w:val="40"/>
      <w:szCs w:val="40"/>
    </w:rPr>
  </w:style>
  <w:style w:type="character" w:styleId="20" w:customStyle="1">
    <w:name w:val="Заголовок 2 Знак"/>
    <w:basedOn w:val="a0"/>
    <w:link w:val="2"/>
    <w:uiPriority w:val="9"/>
    <w:semiHidden w:val="1"/>
    <w:rsid w:val="00865A87"/>
    <w:rPr>
      <w:rFonts w:asciiTheme="majorHAnsi" w:cstheme="majorBidi" w:eastAsiaTheme="majorEastAsia" w:hAnsiTheme="majorHAnsi"/>
      <w:color w:val="0f4761" w:themeColor="accent1" w:themeShade="0000BF"/>
      <w:kern w:val="0"/>
      <w:sz w:val="32"/>
      <w:szCs w:val="32"/>
    </w:rPr>
  </w:style>
  <w:style w:type="character" w:styleId="30" w:customStyle="1">
    <w:name w:val="Заголовок 3 Знак"/>
    <w:basedOn w:val="a0"/>
    <w:link w:val="3"/>
    <w:uiPriority w:val="9"/>
    <w:semiHidden w:val="1"/>
    <w:rsid w:val="00865A87"/>
    <w:rPr>
      <w:rFonts w:cstheme="majorBidi" w:eastAsiaTheme="majorEastAsia"/>
      <w:color w:val="0f4761" w:themeColor="accent1" w:themeShade="0000BF"/>
      <w:kern w:val="0"/>
      <w:sz w:val="28"/>
      <w:szCs w:val="28"/>
    </w:rPr>
  </w:style>
  <w:style w:type="character" w:styleId="40" w:customStyle="1">
    <w:name w:val="Заголовок 4 Знак"/>
    <w:basedOn w:val="a0"/>
    <w:link w:val="4"/>
    <w:uiPriority w:val="9"/>
    <w:semiHidden w:val="1"/>
    <w:rsid w:val="00865A87"/>
    <w:rPr>
      <w:rFonts w:cstheme="majorBidi" w:eastAsiaTheme="majorEastAsia"/>
      <w:i w:val="1"/>
      <w:iCs w:val="1"/>
      <w:color w:val="0f4761" w:themeColor="accent1" w:themeShade="0000BF"/>
      <w:kern w:val="0"/>
      <w:sz w:val="28"/>
    </w:rPr>
  </w:style>
  <w:style w:type="character" w:styleId="50" w:customStyle="1">
    <w:name w:val="Заголовок 5 Знак"/>
    <w:basedOn w:val="a0"/>
    <w:link w:val="5"/>
    <w:uiPriority w:val="9"/>
    <w:semiHidden w:val="1"/>
    <w:rsid w:val="00865A87"/>
    <w:rPr>
      <w:rFonts w:cstheme="majorBidi" w:eastAsiaTheme="majorEastAsia"/>
      <w:color w:val="0f4761" w:themeColor="accent1" w:themeShade="0000BF"/>
      <w:kern w:val="0"/>
      <w:sz w:val="28"/>
    </w:rPr>
  </w:style>
  <w:style w:type="character" w:styleId="60" w:customStyle="1">
    <w:name w:val="Заголовок 6 Знак"/>
    <w:basedOn w:val="a0"/>
    <w:link w:val="6"/>
    <w:uiPriority w:val="9"/>
    <w:semiHidden w:val="1"/>
    <w:rsid w:val="00865A87"/>
    <w:rPr>
      <w:rFonts w:cstheme="majorBidi" w:eastAsiaTheme="majorEastAsia"/>
      <w:i w:val="1"/>
      <w:iCs w:val="1"/>
      <w:color w:val="595959" w:themeColor="text1" w:themeTint="0000A6"/>
      <w:kern w:val="0"/>
      <w:sz w:val="28"/>
    </w:rPr>
  </w:style>
  <w:style w:type="character" w:styleId="70" w:customStyle="1">
    <w:name w:val="Заголовок 7 Знак"/>
    <w:basedOn w:val="a0"/>
    <w:link w:val="7"/>
    <w:uiPriority w:val="9"/>
    <w:semiHidden w:val="1"/>
    <w:rsid w:val="00865A87"/>
    <w:rPr>
      <w:rFonts w:cstheme="majorBidi" w:eastAsiaTheme="majorEastAsia"/>
      <w:color w:val="595959" w:themeColor="text1" w:themeTint="0000A6"/>
      <w:kern w:val="0"/>
      <w:sz w:val="28"/>
    </w:rPr>
  </w:style>
  <w:style w:type="character" w:styleId="80" w:customStyle="1">
    <w:name w:val="Заголовок 8 Знак"/>
    <w:basedOn w:val="a0"/>
    <w:link w:val="8"/>
    <w:uiPriority w:val="9"/>
    <w:semiHidden w:val="1"/>
    <w:rsid w:val="00865A87"/>
    <w:rPr>
      <w:rFonts w:cstheme="majorBidi" w:eastAsiaTheme="majorEastAsia"/>
      <w:i w:val="1"/>
      <w:iCs w:val="1"/>
      <w:color w:val="272727" w:themeColor="text1" w:themeTint="0000D8"/>
      <w:kern w:val="0"/>
      <w:sz w:val="28"/>
    </w:rPr>
  </w:style>
  <w:style w:type="character" w:styleId="90" w:customStyle="1">
    <w:name w:val="Заголовок 9 Знак"/>
    <w:basedOn w:val="a0"/>
    <w:link w:val="9"/>
    <w:uiPriority w:val="9"/>
    <w:semiHidden w:val="1"/>
    <w:rsid w:val="00865A87"/>
    <w:rPr>
      <w:rFonts w:cstheme="majorBidi" w:eastAsiaTheme="majorEastAsia"/>
      <w:color w:val="272727" w:themeColor="text1" w:themeTint="0000D8"/>
      <w:kern w:val="0"/>
      <w:sz w:val="28"/>
    </w:rPr>
  </w:style>
  <w:style w:type="character" w:styleId="a4" w:customStyle="1">
    <w:name w:val="Заголовок Знак"/>
    <w:basedOn w:val="a0"/>
    <w:link w:val="a3"/>
    <w:uiPriority w:val="10"/>
    <w:rsid w:val="00865A87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a6" w:customStyle="1">
    <w:name w:val="Подзаголовок Знак"/>
    <w:basedOn w:val="a0"/>
    <w:link w:val="a5"/>
    <w:uiPriority w:val="11"/>
    <w:rsid w:val="00865A87"/>
    <w:rPr>
      <w:rFonts w:cstheme="majorBidi" w:eastAsiaTheme="majorEastAsia"/>
      <w:color w:val="595959" w:themeColor="text1" w:themeTint="0000A6"/>
      <w:spacing w:val="15"/>
      <w:kern w:val="0"/>
      <w:sz w:val="28"/>
      <w:szCs w:val="28"/>
    </w:rPr>
  </w:style>
  <w:style w:type="paragraph" w:styleId="21">
    <w:name w:val="Quote"/>
    <w:basedOn w:val="a"/>
    <w:next w:val="a"/>
    <w:link w:val="22"/>
    <w:uiPriority w:val="29"/>
    <w:qFormat w:val="1"/>
    <w:rsid w:val="00865A87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22" w:customStyle="1">
    <w:name w:val="Цитата 2 Знак"/>
    <w:basedOn w:val="a0"/>
    <w:link w:val="21"/>
    <w:uiPriority w:val="29"/>
    <w:rsid w:val="00865A87"/>
    <w:rPr>
      <w:rFonts w:ascii="Times New Roman" w:hAnsi="Times New Roman"/>
      <w:i w:val="1"/>
      <w:iCs w:val="1"/>
      <w:color w:val="404040" w:themeColor="text1" w:themeTint="0000BF"/>
      <w:kern w:val="0"/>
      <w:sz w:val="28"/>
    </w:rPr>
  </w:style>
  <w:style w:type="paragraph" w:styleId="a7">
    <w:name w:val="List Paragraph"/>
    <w:basedOn w:val="a"/>
    <w:uiPriority w:val="34"/>
    <w:qFormat w:val="1"/>
    <w:rsid w:val="00865A87"/>
    <w:pPr>
      <w:ind w:left="720"/>
      <w:contextualSpacing w:val="1"/>
    </w:pPr>
  </w:style>
  <w:style w:type="character" w:styleId="a8">
    <w:name w:val="Intense Emphasis"/>
    <w:basedOn w:val="a0"/>
    <w:uiPriority w:val="21"/>
    <w:qFormat w:val="1"/>
    <w:rsid w:val="00865A87"/>
    <w:rPr>
      <w:i w:val="1"/>
      <w:iCs w:val="1"/>
      <w:color w:val="0f4761" w:themeColor="accent1" w:themeShade="0000BF"/>
    </w:rPr>
  </w:style>
  <w:style w:type="paragraph" w:styleId="a9">
    <w:name w:val="Intense Quote"/>
    <w:basedOn w:val="a"/>
    <w:next w:val="a"/>
    <w:link w:val="aa"/>
    <w:uiPriority w:val="30"/>
    <w:qFormat w:val="1"/>
    <w:rsid w:val="00865A87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aa" w:customStyle="1">
    <w:name w:val="Выделенная цитата Знак"/>
    <w:basedOn w:val="a0"/>
    <w:link w:val="a9"/>
    <w:uiPriority w:val="30"/>
    <w:rsid w:val="00865A87"/>
    <w:rPr>
      <w:rFonts w:ascii="Times New Roman" w:hAnsi="Times New Roman"/>
      <w:i w:val="1"/>
      <w:iCs w:val="1"/>
      <w:color w:val="0f4761" w:themeColor="accent1" w:themeShade="0000BF"/>
      <w:kern w:val="0"/>
      <w:sz w:val="28"/>
    </w:rPr>
  </w:style>
  <w:style w:type="character" w:styleId="ab">
    <w:name w:val="Intense Reference"/>
    <w:basedOn w:val="a0"/>
    <w:uiPriority w:val="32"/>
    <w:qFormat w:val="1"/>
    <w:rsid w:val="00865A87"/>
    <w:rPr>
      <w:b w:val="1"/>
      <w:bCs w:val="1"/>
      <w:smallCaps w:val="1"/>
      <w:color w:val="0f4761" w:themeColor="accent1" w:themeShade="0000BF"/>
      <w:spacing w:val="5"/>
    </w:rPr>
  </w:style>
  <w:style w:type="character" w:styleId="ac">
    <w:name w:val="Hyperlink"/>
    <w:basedOn w:val="a0"/>
    <w:uiPriority w:val="99"/>
    <w:unhideWhenUsed w:val="1"/>
    <w:rsid w:val="00C62369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 w:val="1"/>
    <w:unhideWhenUsed w:val="1"/>
    <w:rsid w:val="00C62369"/>
    <w:rPr>
      <w:color w:val="605e5c"/>
      <w:shd w:color="auto" w:fill="e1dfdd" w:val="clear"/>
    </w:rPr>
  </w:style>
  <w:style w:type="table" w:styleId="ae">
    <w:name w:val="Table Grid"/>
    <w:basedOn w:val="a1"/>
    <w:uiPriority w:val="39"/>
    <w:rsid w:val="006350F7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/>
    <w:rPr>
      <w:rFonts w:ascii="Aptos" w:cs="Aptos" w:eastAsia="Aptos" w:hAnsi="Aptos"/>
      <w:color w:val="595959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doi.org/10.21125/inted.2017.2250" TargetMode="External"/><Relationship Id="rId8" Type="http://schemas.openxmlformats.org/officeDocument/2006/relationships/hyperlink" Target="https://doi.org/10.13140/RG.2.2.10399.84642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t4pqN18dY4lERVEuB/VMFeOfHg==">CgMxLjAyDmgucWNmNXNnZmNlYnltOAByITFWR2RHeXI5Qzg0VHhtNVJvLS1LY2lnVnJLZXpLbDZQeA==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2025-10-25T14:58:00Z</dcterms:created>
  <dc:creator>Пользователь</dc:creator>
</cp:coreProperties>
</file>