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7DE02" w14:textId="77777777" w:rsidR="000456C4" w:rsidRDefault="000456C4" w:rsidP="000456C4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4"/>
          <w:szCs w:val="26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6"/>
        </w:rPr>
        <w:t xml:space="preserve">УДК </w:t>
      </w:r>
      <w:r w:rsidRPr="000456C4">
        <w:rPr>
          <w:rFonts w:ascii="Times New Roman" w:eastAsiaTheme="majorEastAsia" w:hAnsi="Times New Roman" w:cs="Times New Roman"/>
          <w:b/>
          <w:bCs/>
          <w:sz w:val="24"/>
          <w:szCs w:val="26"/>
        </w:rPr>
        <w:t>338.45:622.3(470)</w:t>
      </w:r>
    </w:p>
    <w:p w14:paraId="475CA6F4" w14:textId="77777777" w:rsidR="00C707B0" w:rsidRDefault="00C707B0" w:rsidP="000456C4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4"/>
          <w:szCs w:val="26"/>
        </w:rPr>
      </w:pPr>
    </w:p>
    <w:p w14:paraId="487DA945" w14:textId="77777777" w:rsidR="00D71D25" w:rsidRDefault="00A53CF7" w:rsidP="008F6BE4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6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6"/>
        </w:rPr>
        <w:t>ПРОБЛЕМЫ</w:t>
      </w:r>
      <w:r w:rsidR="001B3179" w:rsidRPr="00D71D25">
        <w:rPr>
          <w:rFonts w:ascii="Times New Roman" w:eastAsiaTheme="majorEastAsia" w:hAnsi="Times New Roman" w:cs="Times New Roman"/>
          <w:b/>
          <w:bCs/>
          <w:sz w:val="24"/>
          <w:szCs w:val="26"/>
        </w:rPr>
        <w:t xml:space="preserve"> </w:t>
      </w:r>
      <w:r w:rsidR="00D71D25" w:rsidRPr="00D71D25">
        <w:rPr>
          <w:rFonts w:ascii="Times New Roman" w:eastAsiaTheme="majorEastAsia" w:hAnsi="Times New Roman" w:cs="Times New Roman"/>
          <w:b/>
          <w:bCs/>
          <w:sz w:val="24"/>
          <w:szCs w:val="26"/>
        </w:rPr>
        <w:t xml:space="preserve">НЕФТЕГАЗОВОГО СЕКТОРА </w:t>
      </w:r>
      <w:r w:rsidR="00CA67DC">
        <w:rPr>
          <w:rFonts w:ascii="Times New Roman" w:eastAsiaTheme="majorEastAsia" w:hAnsi="Times New Roman" w:cs="Times New Roman"/>
          <w:b/>
          <w:bCs/>
          <w:sz w:val="24"/>
          <w:szCs w:val="26"/>
        </w:rPr>
        <w:t xml:space="preserve">РОССИИ </w:t>
      </w:r>
      <w:r w:rsidR="00D71D25" w:rsidRPr="00D71D25">
        <w:rPr>
          <w:rFonts w:ascii="Times New Roman" w:eastAsiaTheme="majorEastAsia" w:hAnsi="Times New Roman" w:cs="Times New Roman"/>
          <w:b/>
          <w:bCs/>
          <w:sz w:val="24"/>
          <w:szCs w:val="26"/>
        </w:rPr>
        <w:t>В КОНТЕКСТЕ ПЕРЕНАПРАВЛЕНИЯ ПОТОКОВ</w:t>
      </w:r>
      <w:r w:rsidR="00CA67DC">
        <w:rPr>
          <w:rFonts w:ascii="Times New Roman" w:eastAsiaTheme="majorEastAsia" w:hAnsi="Times New Roman" w:cs="Times New Roman"/>
          <w:b/>
          <w:bCs/>
          <w:sz w:val="24"/>
          <w:szCs w:val="26"/>
        </w:rPr>
        <w:t xml:space="preserve"> ЭНЕРГОРЕСУРСОВ</w:t>
      </w:r>
    </w:p>
    <w:p w14:paraId="17D3929D" w14:textId="77777777" w:rsidR="006933FD" w:rsidRDefault="006933FD" w:rsidP="00A512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2AAC3CA5" w14:textId="77777777" w:rsidR="006933FD" w:rsidRDefault="006933FD" w:rsidP="00A512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Сенина Элеонора Денисовна</w:t>
      </w:r>
    </w:p>
    <w:p w14:paraId="2C9F54D8" w14:textId="77777777" w:rsidR="00D71D25" w:rsidRPr="00D71D25" w:rsidRDefault="00D71D25" w:rsidP="00A512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Лепина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Анна Васильевна </w:t>
      </w:r>
    </w:p>
    <w:p w14:paraId="7786A035" w14:textId="77777777" w:rsidR="000C5713" w:rsidRPr="00B61AC4" w:rsidRDefault="006A3968" w:rsidP="00A512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Бакалавры направления «Экономика»</w:t>
      </w:r>
      <w:r w:rsidR="000C5713" w:rsidRPr="00B61AC4">
        <w:rPr>
          <w:rFonts w:ascii="Times New Roman" w:hAnsi="Times New Roman" w:cs="Times New Roman"/>
          <w:i/>
          <w:sz w:val="24"/>
        </w:rPr>
        <w:t xml:space="preserve"> Филиала МГУ имени М.В. Ломоносова в г. Севастополе</w:t>
      </w:r>
    </w:p>
    <w:p w14:paraId="02BD04DF" w14:textId="77777777" w:rsidR="00BC2335" w:rsidRDefault="00BC2335" w:rsidP="00A512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28709CFB" w14:textId="77777777" w:rsidR="00B61AC4" w:rsidRPr="00B61AC4" w:rsidRDefault="00B61AC4" w:rsidP="00A512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61AC4">
        <w:rPr>
          <w:rFonts w:ascii="Times New Roman" w:hAnsi="Times New Roman" w:cs="Times New Roman"/>
          <w:b/>
          <w:i/>
          <w:sz w:val="24"/>
        </w:rPr>
        <w:t xml:space="preserve">Научный руководитель: </w:t>
      </w:r>
      <w:r w:rsidR="008F6BE4" w:rsidRPr="008F6BE4">
        <w:rPr>
          <w:rFonts w:ascii="Times New Roman" w:hAnsi="Times New Roman" w:cs="Times New Roman"/>
          <w:b/>
          <w:i/>
          <w:sz w:val="24"/>
        </w:rPr>
        <w:t>Кулинич Ирина Николаевна</w:t>
      </w:r>
    </w:p>
    <w:p w14:paraId="034304FC" w14:textId="77777777" w:rsidR="00B61AC4" w:rsidRPr="00B61AC4" w:rsidRDefault="00B61AC4" w:rsidP="00A512C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proofErr w:type="spellStart"/>
      <w:r w:rsidRPr="00B61AC4">
        <w:rPr>
          <w:rFonts w:ascii="Times New Roman" w:hAnsi="Times New Roman" w:cs="Times New Roman"/>
          <w:i/>
          <w:sz w:val="24"/>
        </w:rPr>
        <w:t>к.э.н</w:t>
      </w:r>
      <w:proofErr w:type="spellEnd"/>
      <w:r w:rsidRPr="00B61AC4">
        <w:rPr>
          <w:rFonts w:ascii="Times New Roman" w:hAnsi="Times New Roman" w:cs="Times New Roman"/>
          <w:i/>
          <w:sz w:val="24"/>
        </w:rPr>
        <w:t>, доцент кафедры экономики Филиала МГУ имени М.В. Ломоносова в г. Севастополе</w:t>
      </w:r>
    </w:p>
    <w:p w14:paraId="3D22D9B7" w14:textId="77777777" w:rsidR="00B61AC4" w:rsidRDefault="00B61AC4" w:rsidP="00A512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B61AC4">
        <w:rPr>
          <w:rFonts w:ascii="Times New Roman" w:hAnsi="Times New Roman" w:cs="Times New Roman"/>
          <w:i/>
          <w:sz w:val="24"/>
        </w:rPr>
        <w:t>г. Севастополь</w:t>
      </w:r>
    </w:p>
    <w:p w14:paraId="7D0714BA" w14:textId="77777777" w:rsidR="007C328F" w:rsidRPr="00D71D25" w:rsidRDefault="007C328F" w:rsidP="00B66F7E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2E98FA0B" w14:textId="76A05203" w:rsidR="005A62DA" w:rsidRPr="005A62DA" w:rsidRDefault="005A62DA" w:rsidP="005A6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>Российский нефтегазовый сектор в 2025–2026 годах столкнулся с беспрецедентной трансформацией, вызванной наложением двух разнонаправленных факторов. С одной стороны, продолжается ужесточение санкционного режима со стороны ЕС и G7, направленное на полное выдавливание российских энергоносителей с европейского рынка. С другой стороны, эскалация военного конфликта на Ближнем Востоке (удары по Ирану и блокирование Ормузского пролива) привела к временному выбытию значительных объемов ближневосточной нефти и, как следствие, росту спроса на российские ресурсы в Азии.</w:t>
      </w:r>
    </w:p>
    <w:p w14:paraId="3DBD47A5" w14:textId="77777777" w:rsidR="005A62DA" w:rsidRPr="005A62DA" w:rsidRDefault="005A62DA" w:rsidP="005A6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>Переориентация на Восток стала вынужденной мерой для России в ответ на потерю европейского рынка, который на протяжении десятилетий был ключевым потребителем. Масштаб этого сдвига весьма значителен: по итогам 2025 года 85–90% морского экспорта российской нефти направлено в Индию и Китай [4; 6].</w:t>
      </w:r>
    </w:p>
    <w:p w14:paraId="21726201" w14:textId="77777777" w:rsidR="005A62DA" w:rsidRPr="005A62DA" w:rsidRDefault="005A62DA" w:rsidP="005A6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>Среди основных проблем, сопутствующих сдвигу, можно отметить, во-первых, инфраструктурные ограничения («узкие горлышки»): загруженность БАМа и Транссиба препятствует наращиванию экспорта сжиженных углеводородных газов (СУГ) и угля. Северный морской путь (СМП), рассматриваемый как альтернатива, не вполне оправдал ожидания: в 2025 году перевозки по нему сократились, а его доля в экспорте нефти не достигает и 1% [4].</w:t>
      </w:r>
    </w:p>
    <w:p w14:paraId="3C268AC5" w14:textId="77777777" w:rsidR="005A62DA" w:rsidRPr="005A62DA" w:rsidRDefault="005A62DA" w:rsidP="005A6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 xml:space="preserve">Во-вторых, санкционное давление и эрозия доходов. Запад постоянно ужесточает меры, включая новые ценовые потолки и эмбарго на СПГ. Страны G7 и ЕС не только сохранили, но и понизили потолок цен на российскую нефть с $60 до $47,6 за баррель (в рамках 19-го пакета санкций) [5]. С 21 января 2026 года в ЕС введён запрет на импорт нефтепродуктов, произведённых из российской нефти </w:t>
      </w:r>
      <w:proofErr w:type="gramStart"/>
      <w:r w:rsidRPr="005A62DA">
        <w:rPr>
          <w:rFonts w:ascii="Times New Roman" w:hAnsi="Times New Roman" w:cs="Times New Roman"/>
          <w:sz w:val="24"/>
          <w:szCs w:val="24"/>
        </w:rPr>
        <w:t>в третьих</w:t>
      </w:r>
      <w:proofErr w:type="gramEnd"/>
      <w:r w:rsidRPr="005A62DA">
        <w:rPr>
          <w:rFonts w:ascii="Times New Roman" w:hAnsi="Times New Roman" w:cs="Times New Roman"/>
          <w:sz w:val="24"/>
          <w:szCs w:val="24"/>
        </w:rPr>
        <w:t xml:space="preserve"> странах, что влияет на переработку в Турции и Индии. Кроме того, ЕС ввёл запрет на импорт российского СПГ по краткосрочным контрактам (с апреля 2026 года), а с 1 января 2027 года запрет распространится на долгосрочные контракты [5; 7]. В санкционные списки внесены «Роснефть», «Газпром нефть» и даже китайские операторы СПГ-терминалов, попадающие под вторичные санкции. Если потолок не всегда влияет напрямую, то борьба с «теневым флотом» серьёзно усложняет логистику. Более того, в 2025 году у российского </w:t>
      </w:r>
      <w:proofErr w:type="spellStart"/>
      <w:r w:rsidRPr="005A62DA">
        <w:rPr>
          <w:rFonts w:ascii="Times New Roman" w:hAnsi="Times New Roman" w:cs="Times New Roman"/>
          <w:sz w:val="24"/>
          <w:szCs w:val="24"/>
        </w:rPr>
        <w:t>Urals</w:t>
      </w:r>
      <w:proofErr w:type="spellEnd"/>
      <w:r w:rsidRPr="005A62DA">
        <w:rPr>
          <w:rFonts w:ascii="Times New Roman" w:hAnsi="Times New Roman" w:cs="Times New Roman"/>
          <w:sz w:val="24"/>
          <w:szCs w:val="24"/>
        </w:rPr>
        <w:t xml:space="preserve"> почти исчез дисконт, достигавший $25–34 за баррель, что привело к снижению нефтегазовых доходов и росту дефицита бюджета [2; 6].</w:t>
      </w:r>
    </w:p>
    <w:p w14:paraId="2DA66934" w14:textId="77777777" w:rsidR="005A62DA" w:rsidRPr="005A62DA" w:rsidRDefault="005A62DA" w:rsidP="005A6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>В-третьих, структурный спад и смена модели рынка. Эксперты сходятся во мнении, что рынок углеводородов окончательно перешёл от дефицита продавца к профициту покупателя [1]. Российская экономика, ранее зависевшая от экспортной ренты, рискует войти в фазу затяжной стагнации без структурной трансформации. Дополнительным фактором является истощение лёгкой нефти, из-за чего доля трудноизвлекаемых запасов (ТРИЗ) уже превысила 50% и продолжает расти [2].</w:t>
      </w:r>
    </w:p>
    <w:p w14:paraId="641ECE39" w14:textId="77777777" w:rsidR="005A62DA" w:rsidRPr="005A62DA" w:rsidRDefault="005A62DA" w:rsidP="005A6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 xml:space="preserve">В ответ на санкционное давление главным инструментом защиты стал Указ Президента РФ от 27 декабря 2022 года № 123 «О применении специальных экономических мер в топливно-энергетической сфере в связи с установлением отдельными иностранными </w:t>
      </w:r>
      <w:r w:rsidRPr="005A62DA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государствами предельной цены на российскую нефть и нефтепродукты» (с изменениями от декабря 2025 года) [3]. В декабре 2025 года Владимир Путин продлил запрет на экспорт нефти и нефтепродуктов при условии соблюдения «потолка цен» до 30 июня 2026 года [3]. Указ запрещает российским компаниям включать в контракты механизм </w:t>
      </w:r>
      <w:proofErr w:type="spellStart"/>
      <w:r w:rsidRPr="005A62DA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5A6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2DA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5A62DA">
        <w:rPr>
          <w:rFonts w:ascii="Times New Roman" w:hAnsi="Times New Roman" w:cs="Times New Roman"/>
          <w:sz w:val="24"/>
          <w:szCs w:val="24"/>
        </w:rPr>
        <w:t>.</w:t>
      </w:r>
    </w:p>
    <w:p w14:paraId="0CDA54D9" w14:textId="77777777" w:rsidR="005A62DA" w:rsidRPr="005A62DA" w:rsidRDefault="005A62DA" w:rsidP="005A6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>Главным трендом 2026 года стал окончательный разворот на Азию. Если в 2019 году 60% нефти шло на Запад, то в 2024–2025 годах 90% экспорта углеводородов уходит в Китай, Индию и Турцию. Добыча упала всего на 2–3% от уровня 2021 года (до 510–516 млн тонн), что эксперты ИНП РАН оценивают как успех адаптации [1]. В 2025 году «Газпром» впервые в истории поставил в Китай по «Силе Сибири» больше газа, чем в Европу (38,8 млрд куб. м). Ямал СПГ возобновил прямые поставки в КНР в апреле 2026 года после четырёхмесячного перерыва, связанного с перенастройкой логистики. В условиях санкций НОВАТЭК начал применять технологию «борт-борт» (STS) в Мурманской области, что позволяет разгружать танкеры ледового класса Arc7 и перегружать СПГ на обычные суда, следующие через Суэц или вокруг Африки [1; 4].</w:t>
      </w:r>
    </w:p>
    <w:p w14:paraId="2EF5D124" w14:textId="77777777" w:rsidR="005A62DA" w:rsidRPr="005A62DA" w:rsidRDefault="005A62DA" w:rsidP="005A6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 xml:space="preserve">Для выхода из кризиса и снижения зависимости от конъюнктуры рынка необходимы системные меры. Во-первых, снятие инфраструктурных ограничений: увеличение пропускной способности РЖД на восточном направлении, развитие портов Дальнего Востока и Арктики. Во-вторых, стимулирование инноваций: налоговые льготы и </w:t>
      </w:r>
      <w:proofErr w:type="spellStart"/>
      <w:r w:rsidRPr="005A62DA">
        <w:rPr>
          <w:rFonts w:ascii="Times New Roman" w:hAnsi="Times New Roman" w:cs="Times New Roman"/>
          <w:sz w:val="24"/>
          <w:szCs w:val="24"/>
        </w:rPr>
        <w:t>техрегулирование</w:t>
      </w:r>
      <w:proofErr w:type="spellEnd"/>
      <w:r w:rsidRPr="005A62DA">
        <w:rPr>
          <w:rFonts w:ascii="Times New Roman" w:hAnsi="Times New Roman" w:cs="Times New Roman"/>
          <w:sz w:val="24"/>
          <w:szCs w:val="24"/>
        </w:rPr>
        <w:t xml:space="preserve"> для разработки ТРИЗ и производства отечественного оборудования взамен западного. В-третьих, диверсификация экспорта: акцент на строительство новых газопроводов в Азию («Сила Сибири – 2» на 50 млрд кубометров) и поддержка конкурентоспособности СПГ. В-четвёртых, совершенствование фискальной политики: корректировка налогообложения и субсидирование внутреннего рынка для сдерживания роста цен на топливо [2; 7].</w:t>
      </w:r>
    </w:p>
    <w:p w14:paraId="2765106C" w14:textId="77777777" w:rsidR="005A62DA" w:rsidRPr="005A62DA" w:rsidRDefault="005A62DA" w:rsidP="005A6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>Таким образом, перенаправление потоков – это вынужденный, уже свершившийся факт. Сектор смог пережить шок 2022 года и перенаправить значительные объёмы. Однако долгосрочные вызовы остаются острыми: уход от сырьевой зависимости, модернизация инфраструктуры и технологическое обновление требуют времени и огромных инвестиций. Сектор прошёл этап адаптации, но впереди – этап сложной структурной перестройки.</w:t>
      </w:r>
    </w:p>
    <w:p w14:paraId="6B33B781" w14:textId="77777777" w:rsidR="005A62DA" w:rsidRPr="005A62DA" w:rsidRDefault="005A62DA" w:rsidP="005A6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3A13B983" w14:textId="77777777" w:rsidR="005A62DA" w:rsidRPr="005A62DA" w:rsidRDefault="005A62DA" w:rsidP="005A62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>Громов А.И. Энергетический переход и санкции: адаптация российского нефтегазового сектора // Институт энергетики и финансов. М.: ИЭФ. 2025. 112 с.</w:t>
      </w:r>
    </w:p>
    <w:p w14:paraId="21C0B4ED" w14:textId="77777777" w:rsidR="005A62DA" w:rsidRPr="005A62DA" w:rsidRDefault="005A62DA" w:rsidP="005A62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>Масленников Н.Н. Нефтегазовый сектор России: новые реалии и структурные вызовы // Вопросы экономики. 2026. № 3. С. 45–62.</w:t>
      </w:r>
    </w:p>
    <w:p w14:paraId="78E9B5DF" w14:textId="77777777" w:rsidR="005A62DA" w:rsidRPr="005A62DA" w:rsidRDefault="005A62DA" w:rsidP="005A62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>Указ Президента РФ от 27.12.2022 № 123 «О применении специальных экономических мер в топливно-энергетической сфере в связи с установлением отдельными иностранными государствами предельной цены на российскую нефть и нефтепродукты» (ред. от 12.12.2025).</w:t>
      </w:r>
    </w:p>
    <w:p w14:paraId="38F31AAE" w14:textId="77777777" w:rsidR="005A62DA" w:rsidRPr="005A62DA" w:rsidRDefault="005A62DA" w:rsidP="005A62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>Фролов А.В. Перенаправление экспортных потоков российских углеводородов: проблемы и перспективы // Институт национальной энергетики. М.: ИНЭ. 2026. 98 с.</w:t>
      </w:r>
    </w:p>
    <w:p w14:paraId="615369FD" w14:textId="77777777" w:rsidR="005A62DA" w:rsidRPr="005A62DA" w:rsidRDefault="005A62DA" w:rsidP="005A62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  <w:lang w:val="en-US"/>
        </w:rPr>
        <w:t xml:space="preserve">European Commission. 19th package of sanctions against Russia: oil price cap and LNG restrictions // Official Journal of the EU. 2025. </w:t>
      </w:r>
      <w:r w:rsidRPr="005A62DA">
        <w:rPr>
          <w:rFonts w:ascii="Times New Roman" w:hAnsi="Times New Roman" w:cs="Times New Roman"/>
          <w:sz w:val="24"/>
          <w:szCs w:val="24"/>
        </w:rPr>
        <w:t>L 342/12.</w:t>
      </w:r>
    </w:p>
    <w:p w14:paraId="5815F483" w14:textId="77777777" w:rsidR="005A62DA" w:rsidRPr="005A62DA" w:rsidRDefault="005A62DA" w:rsidP="005A62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>Юшков И.В. Нефтяной рынок 2025: низкие цены и новые потолки // Фонд национальной энергетической безопасности. URL: </w:t>
      </w:r>
      <w:hyperlink r:id="rId6" w:tgtFrame="_blank" w:history="1">
        <w:r w:rsidRPr="005A62DA">
          <w:rPr>
            <w:rStyle w:val="a5"/>
            <w:rFonts w:ascii="Times New Roman" w:hAnsi="Times New Roman" w:cs="Times New Roman"/>
            <w:sz w:val="24"/>
            <w:szCs w:val="24"/>
          </w:rPr>
          <w:t>https://www.fnes.ru</w:t>
        </w:r>
      </w:hyperlink>
      <w:r w:rsidRPr="005A62DA">
        <w:rPr>
          <w:rFonts w:ascii="Times New Roman" w:hAnsi="Times New Roman" w:cs="Times New Roman"/>
          <w:sz w:val="24"/>
          <w:szCs w:val="24"/>
        </w:rPr>
        <w:t> (дата обращения: 10.04.2026).</w:t>
      </w:r>
    </w:p>
    <w:p w14:paraId="5D522B1E" w14:textId="77777777" w:rsidR="005A62DA" w:rsidRPr="005A62DA" w:rsidRDefault="005A62DA" w:rsidP="005A62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>Бахтин К.А. Перспективы газовой отрасли России: «Сила Сибири – 2» и другие проекты // БКС Мир инвестиций. 2026. № 2. С. 18–25.</w:t>
      </w:r>
    </w:p>
    <w:p w14:paraId="344CFC75" w14:textId="77777777" w:rsidR="005A62DA" w:rsidRPr="005A62DA" w:rsidRDefault="005A62DA" w:rsidP="005A62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2DA">
        <w:rPr>
          <w:rFonts w:ascii="Times New Roman" w:hAnsi="Times New Roman" w:cs="Times New Roman"/>
          <w:sz w:val="24"/>
          <w:szCs w:val="24"/>
        </w:rPr>
        <w:t>Харченко И.С., Харченко Л.И. Промышленность как основа национальной экономики // Государственное и муниципальное управление. Ученые записки. 2014. № 2. URL: </w:t>
      </w:r>
      <w:hyperlink r:id="rId7" w:tgtFrame="_blank" w:history="1">
        <w:r w:rsidRPr="005A62DA">
          <w:rPr>
            <w:rStyle w:val="a5"/>
            <w:rFonts w:ascii="Times New Roman" w:hAnsi="Times New Roman" w:cs="Times New Roman"/>
            <w:sz w:val="24"/>
            <w:szCs w:val="24"/>
          </w:rPr>
          <w:t>https://cyberleninka.ru</w:t>
        </w:r>
      </w:hyperlink>
      <w:r w:rsidRPr="005A62DA">
        <w:rPr>
          <w:rFonts w:ascii="Times New Roman" w:hAnsi="Times New Roman" w:cs="Times New Roman"/>
          <w:sz w:val="24"/>
          <w:szCs w:val="24"/>
        </w:rPr>
        <w:t> (дата обращения: 10.04.2026).</w:t>
      </w:r>
    </w:p>
    <w:p w14:paraId="683A39EE" w14:textId="77777777" w:rsidR="00F5284B" w:rsidRPr="00B66F7E" w:rsidRDefault="00F5284B" w:rsidP="008F6BE4">
      <w:pPr>
        <w:pStyle w:val="a4"/>
        <w:tabs>
          <w:tab w:val="left" w:pos="2977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284B" w:rsidRPr="00B66F7E" w:rsidSect="001669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36186"/>
    <w:multiLevelType w:val="hybridMultilevel"/>
    <w:tmpl w:val="3F3C75AA"/>
    <w:lvl w:ilvl="0" w:tplc="291A0F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362487"/>
    <w:multiLevelType w:val="multilevel"/>
    <w:tmpl w:val="F29CF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3A6223"/>
    <w:multiLevelType w:val="hybridMultilevel"/>
    <w:tmpl w:val="8DA6A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CE"/>
    <w:rsid w:val="00004544"/>
    <w:rsid w:val="00015BCB"/>
    <w:rsid w:val="000456C4"/>
    <w:rsid w:val="00045EF5"/>
    <w:rsid w:val="00050792"/>
    <w:rsid w:val="000510BE"/>
    <w:rsid w:val="000B1581"/>
    <w:rsid w:val="000C5713"/>
    <w:rsid w:val="00112824"/>
    <w:rsid w:val="001151AE"/>
    <w:rsid w:val="001609D5"/>
    <w:rsid w:val="001669F8"/>
    <w:rsid w:val="001923AE"/>
    <w:rsid w:val="001B3179"/>
    <w:rsid w:val="001C455E"/>
    <w:rsid w:val="00201F9D"/>
    <w:rsid w:val="00214601"/>
    <w:rsid w:val="00220358"/>
    <w:rsid w:val="00226DBF"/>
    <w:rsid w:val="002316F5"/>
    <w:rsid w:val="00233845"/>
    <w:rsid w:val="002370DC"/>
    <w:rsid w:val="00250CF2"/>
    <w:rsid w:val="0026633B"/>
    <w:rsid w:val="00276F4F"/>
    <w:rsid w:val="00277307"/>
    <w:rsid w:val="002A032C"/>
    <w:rsid w:val="002A0C3B"/>
    <w:rsid w:val="002D1C27"/>
    <w:rsid w:val="002E3EE7"/>
    <w:rsid w:val="002E6047"/>
    <w:rsid w:val="0033398C"/>
    <w:rsid w:val="00353FD2"/>
    <w:rsid w:val="00362615"/>
    <w:rsid w:val="003B2620"/>
    <w:rsid w:val="003B7EEA"/>
    <w:rsid w:val="003D0C5E"/>
    <w:rsid w:val="0043148C"/>
    <w:rsid w:val="004439A3"/>
    <w:rsid w:val="00492BEB"/>
    <w:rsid w:val="004942DA"/>
    <w:rsid w:val="004A2004"/>
    <w:rsid w:val="004D6F96"/>
    <w:rsid w:val="004E56AD"/>
    <w:rsid w:val="004F2DD9"/>
    <w:rsid w:val="005308F3"/>
    <w:rsid w:val="00547591"/>
    <w:rsid w:val="005574C0"/>
    <w:rsid w:val="005A62DA"/>
    <w:rsid w:val="005A76A4"/>
    <w:rsid w:val="005E454F"/>
    <w:rsid w:val="005E6D1E"/>
    <w:rsid w:val="005F1C17"/>
    <w:rsid w:val="005F2380"/>
    <w:rsid w:val="00616D79"/>
    <w:rsid w:val="00661772"/>
    <w:rsid w:val="006755F8"/>
    <w:rsid w:val="006933FD"/>
    <w:rsid w:val="006A3968"/>
    <w:rsid w:val="006F49A6"/>
    <w:rsid w:val="00706DD7"/>
    <w:rsid w:val="007328A2"/>
    <w:rsid w:val="00763376"/>
    <w:rsid w:val="00767763"/>
    <w:rsid w:val="00787C5D"/>
    <w:rsid w:val="007C328F"/>
    <w:rsid w:val="007C6FD8"/>
    <w:rsid w:val="00804675"/>
    <w:rsid w:val="008073E1"/>
    <w:rsid w:val="008100D4"/>
    <w:rsid w:val="0081019D"/>
    <w:rsid w:val="00876B8C"/>
    <w:rsid w:val="008A06AB"/>
    <w:rsid w:val="008A37A4"/>
    <w:rsid w:val="008C7A4C"/>
    <w:rsid w:val="008D5CEC"/>
    <w:rsid w:val="008F6BE4"/>
    <w:rsid w:val="00904A64"/>
    <w:rsid w:val="00916B72"/>
    <w:rsid w:val="009422AB"/>
    <w:rsid w:val="0096289C"/>
    <w:rsid w:val="00995F29"/>
    <w:rsid w:val="009C6FD6"/>
    <w:rsid w:val="00A03869"/>
    <w:rsid w:val="00A512C4"/>
    <w:rsid w:val="00A53CF7"/>
    <w:rsid w:val="00A612FE"/>
    <w:rsid w:val="00A6666F"/>
    <w:rsid w:val="00A865A6"/>
    <w:rsid w:val="00AA142D"/>
    <w:rsid w:val="00AB5AEA"/>
    <w:rsid w:val="00AB7BBC"/>
    <w:rsid w:val="00B06A44"/>
    <w:rsid w:val="00B22BDE"/>
    <w:rsid w:val="00B25897"/>
    <w:rsid w:val="00B26E6C"/>
    <w:rsid w:val="00B61AC4"/>
    <w:rsid w:val="00B656B5"/>
    <w:rsid w:val="00B66F7E"/>
    <w:rsid w:val="00B756BD"/>
    <w:rsid w:val="00B87718"/>
    <w:rsid w:val="00BC2335"/>
    <w:rsid w:val="00C168D5"/>
    <w:rsid w:val="00C22ACD"/>
    <w:rsid w:val="00C66339"/>
    <w:rsid w:val="00C707B0"/>
    <w:rsid w:val="00CA67DC"/>
    <w:rsid w:val="00CD0F96"/>
    <w:rsid w:val="00D0150B"/>
    <w:rsid w:val="00D031E2"/>
    <w:rsid w:val="00D05EC8"/>
    <w:rsid w:val="00D125FC"/>
    <w:rsid w:val="00D1676B"/>
    <w:rsid w:val="00D512CE"/>
    <w:rsid w:val="00D71D25"/>
    <w:rsid w:val="00DA1537"/>
    <w:rsid w:val="00DC6C05"/>
    <w:rsid w:val="00DE1D9D"/>
    <w:rsid w:val="00E16834"/>
    <w:rsid w:val="00E32AD0"/>
    <w:rsid w:val="00E44C40"/>
    <w:rsid w:val="00E57DF7"/>
    <w:rsid w:val="00F5284B"/>
    <w:rsid w:val="00FC17E9"/>
    <w:rsid w:val="00FC4B38"/>
    <w:rsid w:val="00FC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49AA"/>
  <w15:docId w15:val="{59E202AF-8432-449F-84B2-9CD1D1BE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6AD"/>
  </w:style>
  <w:style w:type="paragraph" w:styleId="1">
    <w:name w:val="heading 1"/>
    <w:basedOn w:val="a"/>
    <w:next w:val="a"/>
    <w:link w:val="10"/>
    <w:uiPriority w:val="9"/>
    <w:qFormat/>
    <w:rsid w:val="00CA67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A03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3FD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00D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2C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A03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E1D9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D71D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A67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8">
    <w:name w:val="Unresolved Mention"/>
    <w:basedOn w:val="a0"/>
    <w:uiPriority w:val="99"/>
    <w:semiHidden/>
    <w:unhideWhenUsed/>
    <w:rsid w:val="005A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ne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959A-08CE-4D9D-8AAD-AECCA698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2026-04-13T12:48:00Z</dcterms:created>
  <dcterms:modified xsi:type="dcterms:W3CDTF">2026-04-13T12:48:00Z</dcterms:modified>
</cp:coreProperties>
</file>