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Связь созависимого поведения взрослых с травматическим детским опытом и алекситимией</w:t>
      </w:r>
    </w:p>
    <w:p>
      <w:pPr>
        <w:pStyle w:val="Основной текст"/>
        <w:jc w:val="center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Биснек 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Е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Основной текст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Студент </w:t>
      </w:r>
    </w:p>
    <w:p>
      <w:pPr>
        <w:pStyle w:val="Основной текст"/>
        <w:jc w:val="center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Косых 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Основной текст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Кандидат биологических наук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доцент</w:t>
      </w:r>
    </w:p>
    <w:p>
      <w:pPr>
        <w:pStyle w:val="Основной текст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Филиал МГУ имени 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Ломоносова в г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Севастополе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,</w:t>
      </w:r>
    </w:p>
    <w:p>
      <w:pPr>
        <w:pStyle w:val="Основной текст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факультет психологии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Севастополь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Россия</w:t>
      </w:r>
    </w:p>
    <w:p>
      <w:pPr>
        <w:pStyle w:val="Основной текст"/>
        <w:ind w:firstLine="39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Актуальность исследования обусловлена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одной стороны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широкой распространенностью созависимых паттернов в населении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с другой – отсутствием единого общепринятого определения созависимости и фрагментарностью знаний о факторах ее формирования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В частности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остаются недостаточно изученными роль травматического детского опыта и алекситимии как возможных предикторов устойчивых созависимых моделей поведения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сновной текст"/>
        <w:ind w:firstLine="397"/>
        <w:jc w:val="both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Объектом исследования выступает созависимое поведение взрослых как психологическое явление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ind w:firstLine="39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Предметом исследования – психологические особенности связи созависимого поведения у взрослых с травматическим детским опытом и алекситимией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ind w:firstLine="397"/>
        <w:jc w:val="both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исследовании приняли участие </w:t>
      </w:r>
      <w:r>
        <w:rPr>
          <w:rFonts w:ascii="Times New Roman" w:hAnsi="Times New Roman"/>
          <w:sz w:val="24"/>
          <w:szCs w:val="24"/>
          <w:rtl w:val="0"/>
        </w:rPr>
        <w:t xml:space="preserve">200 </w:t>
      </w:r>
      <w:r>
        <w:rPr>
          <w:rFonts w:ascii="Times New Roman" w:hAnsi="Times New Roman" w:hint="default"/>
          <w:sz w:val="24"/>
          <w:szCs w:val="24"/>
          <w:rtl w:val="0"/>
        </w:rPr>
        <w:t>человек</w:t>
      </w:r>
      <w:r>
        <w:rPr>
          <w:rFonts w:ascii="Times New Roman" w:hAnsi="Times New Roman"/>
          <w:sz w:val="24"/>
          <w:szCs w:val="24"/>
          <w:rtl w:val="0"/>
        </w:rPr>
        <w:t xml:space="preserve">: 182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женщины и </w:t>
      </w:r>
      <w:r>
        <w:rPr>
          <w:rFonts w:ascii="Times New Roman" w:hAnsi="Times New Roman"/>
          <w:sz w:val="24"/>
          <w:szCs w:val="24"/>
          <w:rtl w:val="0"/>
        </w:rPr>
        <w:t xml:space="preserve">18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мужчин в возрасте от </w:t>
      </w:r>
      <w:r>
        <w:rPr>
          <w:rFonts w:ascii="Times New Roman" w:hAnsi="Times New Roman"/>
          <w:sz w:val="24"/>
          <w:szCs w:val="24"/>
          <w:rtl w:val="0"/>
        </w:rPr>
        <w:t xml:space="preserve">19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до </w:t>
      </w:r>
      <w:r>
        <w:rPr>
          <w:rFonts w:ascii="Times New Roman" w:hAnsi="Times New Roman"/>
          <w:sz w:val="24"/>
          <w:szCs w:val="24"/>
          <w:rtl w:val="0"/>
        </w:rPr>
        <w:t xml:space="preserve">62 </w:t>
      </w:r>
      <w:r>
        <w:rPr>
          <w:rFonts w:ascii="Times New Roman" w:hAnsi="Times New Roman" w:hint="default"/>
          <w:sz w:val="24"/>
          <w:szCs w:val="24"/>
          <w:rtl w:val="0"/>
        </w:rPr>
        <w:t>лет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Применялись следующие методики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</w:rPr>
        <w:t>Шкала созависимости Дж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и Б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Уайнхолд в адаптации А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С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Кочарян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В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Фроловой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Н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Смахтиной – для измерения уровня созависимости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[6];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Торонтская шкала алекситимии </w:t>
      </w:r>
      <w:r>
        <w:rPr>
          <w:rFonts w:ascii="Times New Roman" w:hAnsi="Times New Roman"/>
          <w:sz w:val="24"/>
          <w:szCs w:val="24"/>
          <w:rtl w:val="0"/>
        </w:rPr>
        <w:t xml:space="preserve">TAS-20 </w:t>
      </w:r>
      <w:r>
        <w:rPr>
          <w:rFonts w:ascii="Times New Roman" w:hAnsi="Times New Roman" w:hint="default"/>
          <w:sz w:val="24"/>
          <w:szCs w:val="24"/>
          <w:rtl w:val="0"/>
        </w:rPr>
        <w:t>в адаптации института им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В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М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Бехтерева – для оценки алекситимии и её компонентов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[5];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Опросник неблагоприятного детского опыта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ACE-10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адаптации Е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С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Герасимчук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Н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Б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Лутовой и др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[3];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Диагностика ранних дисфункциональных схем Дж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Янга </w:t>
      </w:r>
      <w:r>
        <w:rPr>
          <w:rFonts w:ascii="Times New Roman" w:hAnsi="Times New Roman"/>
          <w:sz w:val="24"/>
          <w:szCs w:val="24"/>
          <w:rtl w:val="0"/>
        </w:rPr>
        <w:t xml:space="preserve">(YSQ-S3R)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адаптации П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М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Касьяник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В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Романовой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[2]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ind w:firstLine="397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Целью исследования является выявление особенности связи созависимого поведения взрослых с травматическим детским опытом и уровнем алекситимии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.</w:t>
      </w:r>
    </w:p>
    <w:p>
      <w:pPr>
        <w:pStyle w:val="Основной текст"/>
        <w:ind w:firstLine="397"/>
        <w:jc w:val="both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Нами были выдвинуты следующие гипотезы</w:t>
      </w:r>
      <w:r>
        <w:rPr>
          <w:rFonts w:ascii="Times New Roman" w:hAnsi="Times New Roman"/>
          <w:sz w:val="24"/>
          <w:szCs w:val="24"/>
          <w:rtl w:val="0"/>
        </w:rPr>
        <w:t>:</w:t>
      </w:r>
    </w:p>
    <w:p>
      <w:pPr>
        <w:pStyle w:val="Основной текст"/>
        <w:ind w:firstLine="39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  <w:lang w:val="ru-RU"/>
        </w:rPr>
        <w:t xml:space="preserve">1.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Существуют значимые различия показателей алекситимии и травматического детского опыта у людей с разной выраженностью созависимых моделей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"/>
        <w:ind w:firstLine="39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2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Взрослым с более высоким уровнем неблагоприятного детского опыта и алекситимии соответствует более высокий уровень созависимого поведения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ind w:firstLine="39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Существует статистически значимая связь между уровнем выраженности созависимых моделей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поведения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взрослых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алекситимией и травмирующим детским опытом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ind w:firstLine="397"/>
        <w:jc w:val="both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Созависимое поведение в нашей работе определяется как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поведение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мотивированное какой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либо зависимостью от значимого другого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[1]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определение выбрано потому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оно подчеркивает межличностный контекст и не привязывает созависимость исключительно к химической аддикции партнёра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ind w:firstLine="397"/>
        <w:jc w:val="both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Травматический детский опыт мы рассматриваем согласно определению А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С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Лолаевой и М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З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Худаловой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«эмоционально или психологически болезненные события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происходящие в детстве и способные оказать долгосрочное влияние на физическое и психическое здоровье взрослого человека»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включая насилие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пренебрежение и семейную дисфункцию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[4]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ind w:firstLine="39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Алекситимия понимается нами вслед за П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Сифнесом и традицией Торонтской школы как устойчивое затруднение в идентификации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дифференциации и вербализации собственных эмоций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сочетающееся с внешне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ориентированным стилем мышления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[5]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ind w:firstLine="39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Результаты эмпирического исследования подтвердили все три гипотезы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</w:p>
    <w:p>
      <w:pPr>
        <w:pStyle w:val="Основной текст"/>
        <w:ind w:firstLine="39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Обнаружены значимые различия показателей алекситимии и травматического детского опыта у людей с разной выраженностью созависимых моделей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для алекситимии χ² </w:t>
      </w:r>
      <w:r>
        <w:rPr>
          <w:rFonts w:ascii="Times New Roman" w:hAnsi="Times New Roman"/>
          <w:sz w:val="24"/>
          <w:szCs w:val="24"/>
          <w:rtl w:val="0"/>
        </w:rPr>
        <w:t xml:space="preserve">= 46,8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при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p &lt; 0,001,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для НДО – χ² </w:t>
      </w:r>
      <w:r>
        <w:rPr>
          <w:rFonts w:ascii="Times New Roman" w:hAnsi="Times New Roman"/>
          <w:sz w:val="24"/>
          <w:szCs w:val="24"/>
          <w:rtl w:val="0"/>
        </w:rPr>
        <w:t xml:space="preserve">= 10,8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при </w:t>
      </w:r>
      <w:r>
        <w:rPr>
          <w:rFonts w:ascii="Times New Roman" w:hAnsi="Times New Roman"/>
          <w:sz w:val="24"/>
          <w:szCs w:val="24"/>
          <w:rtl w:val="0"/>
        </w:rPr>
        <w:t xml:space="preserve">p = 0,013)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этом особенно сильный вклад вносит опыт пренебрежения – эмоционального и физического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ind w:firstLine="39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зрослым с более высоким уровнем неблагоприятного детского опыта и алекситимии соответствует более высокий уровень созависимого поведения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ind w:firstLine="39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Обнаружена статистически значимая связь между уровнем выраженности созависимых моделей поведения взрослых и алекситимией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 xml:space="preserve">r = 0,563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при </w:t>
      </w:r>
      <w:r>
        <w:rPr>
          <w:rFonts w:ascii="Times New Roman" w:hAnsi="Times New Roman"/>
          <w:sz w:val="24"/>
          <w:szCs w:val="24"/>
          <w:rtl w:val="0"/>
          <w:lang w:val="en-US"/>
        </w:rPr>
        <w:t>p &lt; 0,001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 также с травматическим детским опытом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/>
          <w:sz w:val="24"/>
          <w:szCs w:val="24"/>
          <w:rtl w:val="0"/>
        </w:rPr>
        <w:t>r = 0,195, p = 0,013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Практически все ранние дезадаптивные схемы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демонстрируют значимые корреляции с созависимостью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особенно покорность </w:t>
      </w:r>
      <w:r>
        <w:rPr>
          <w:rFonts w:ascii="Times New Roman" w:hAnsi="Times New Roman"/>
          <w:sz w:val="24"/>
          <w:szCs w:val="24"/>
          <w:rtl w:val="0"/>
        </w:rPr>
        <w:t xml:space="preserve">(r=0,745),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уязвимость </w:t>
      </w:r>
      <w:r>
        <w:rPr>
          <w:rFonts w:ascii="Times New Roman" w:hAnsi="Times New Roman"/>
          <w:sz w:val="24"/>
          <w:szCs w:val="24"/>
          <w:rtl w:val="0"/>
        </w:rPr>
        <w:t xml:space="preserve">(r=0,706)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подавление эмоций </w:t>
      </w:r>
      <w:r>
        <w:rPr>
          <w:rFonts w:ascii="Times New Roman" w:hAnsi="Times New Roman"/>
          <w:sz w:val="24"/>
          <w:szCs w:val="24"/>
          <w:rtl w:val="0"/>
        </w:rPr>
        <w:t>(r=0,670</w:t>
      </w:r>
      <w:r>
        <w:rPr>
          <w:rFonts w:ascii="Times New Roman" w:hAnsi="Times New Roman"/>
          <w:sz w:val="24"/>
          <w:szCs w:val="24"/>
          <w:rtl w:val="0"/>
          <w:lang w:val="ru-RU"/>
        </w:rPr>
        <w:t>).</w:t>
      </w:r>
    </w:p>
    <w:p>
      <w:pPr>
        <w:pStyle w:val="Основной текст"/>
        <w:ind w:firstLine="39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основе полученных данных нами была разработана психологическая модель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которой неблагоприятный детский опыт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особенно пренебрежение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ведёт к формированию ранних дезадаптивных схем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покорность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уязвимость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подавление эмоций</w:t>
      </w:r>
      <w:r>
        <w:rPr>
          <w:rFonts w:ascii="Times New Roman" w:hAnsi="Times New Roman"/>
          <w:sz w:val="24"/>
          <w:szCs w:val="24"/>
          <w:rtl w:val="0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Эти схемы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одной стороны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напрямую предрасполагают к созависимому поведению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с другой – способствуют развитию алекситимии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Алекситимия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затрудняя осознание собственных потребностей и границ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замыкает круг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поддерживая созависимые паттерны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ind w:firstLine="397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Литература</w:t>
      </w:r>
    </w:p>
    <w:p>
      <w:pPr>
        <w:pStyle w:val="Основной текст"/>
        <w:ind w:firstLine="39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1. </w:t>
      </w:r>
      <w:r>
        <w:rPr>
          <w:rFonts w:ascii="Times New Roman" w:hAnsi="Times New Roman" w:hint="default"/>
          <w:sz w:val="24"/>
          <w:szCs w:val="24"/>
          <w:rtl w:val="0"/>
        </w:rPr>
        <w:t>Артемцева Н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Г</w:t>
      </w:r>
      <w:r>
        <w:rPr>
          <w:rFonts w:ascii="Times New Roman" w:hAnsi="Times New Roman"/>
          <w:sz w:val="24"/>
          <w:szCs w:val="24"/>
          <w:rtl w:val="0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</w:rPr>
        <w:t>Галкина Т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В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Созависимость как возможная угроза психологическому здоровью субъекта </w:t>
      </w:r>
      <w:r>
        <w:rPr>
          <w:rFonts w:ascii="Times New Roman" w:hAnsi="Times New Roman"/>
          <w:sz w:val="24"/>
          <w:szCs w:val="24"/>
          <w:rtl w:val="0"/>
        </w:rPr>
        <w:t xml:space="preserve">//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Знание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Понимание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Умение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sz w:val="24"/>
          <w:szCs w:val="24"/>
          <w:rtl w:val="0"/>
        </w:rPr>
        <w:t>2014.</w:t>
      </w:r>
    </w:p>
    <w:p>
      <w:pPr>
        <w:pStyle w:val="Основной текст"/>
        <w:ind w:firstLine="39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2. </w:t>
      </w:r>
      <w:r>
        <w:rPr>
          <w:rFonts w:ascii="Times New Roman" w:hAnsi="Times New Roman" w:hint="default"/>
          <w:sz w:val="24"/>
          <w:szCs w:val="24"/>
          <w:rtl w:val="0"/>
        </w:rPr>
        <w:t>Галимзянова М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В</w:t>
      </w:r>
      <w:r>
        <w:rPr>
          <w:rFonts w:ascii="Times New Roman" w:hAnsi="Times New Roman"/>
          <w:sz w:val="24"/>
          <w:szCs w:val="24"/>
          <w:rtl w:val="0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Касьяник П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М</w:t>
      </w:r>
      <w:r>
        <w:rPr>
          <w:rFonts w:ascii="Times New Roman" w:hAnsi="Times New Roman"/>
          <w:sz w:val="24"/>
          <w:szCs w:val="24"/>
          <w:rtl w:val="0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Романова Е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В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Выраженность ранних дезадаптивных схем и режимов функционирования схем у мужчин и женщин в период ранней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средней и поздней взрослости </w:t>
      </w:r>
      <w:r>
        <w:rPr>
          <w:rFonts w:ascii="Times New Roman" w:hAnsi="Times New Roman"/>
          <w:sz w:val="24"/>
          <w:szCs w:val="24"/>
          <w:rtl w:val="0"/>
        </w:rPr>
        <w:t xml:space="preserve">//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Вестник Санкт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Петербургского университета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Серия </w:t>
      </w:r>
      <w:r>
        <w:rPr>
          <w:rFonts w:ascii="Times New Roman" w:hAnsi="Times New Roman"/>
          <w:sz w:val="24"/>
          <w:szCs w:val="24"/>
          <w:rtl w:val="0"/>
        </w:rPr>
        <w:t xml:space="preserve">16.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Психология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Педагогика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sz w:val="24"/>
          <w:szCs w:val="24"/>
          <w:rtl w:val="0"/>
        </w:rPr>
        <w:t xml:space="preserve">2016.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– Вып</w:t>
      </w:r>
      <w:r>
        <w:rPr>
          <w:rFonts w:ascii="Times New Roman" w:hAnsi="Times New Roman"/>
          <w:sz w:val="24"/>
          <w:szCs w:val="24"/>
          <w:rtl w:val="0"/>
        </w:rPr>
        <w:t xml:space="preserve">. 3. </w:t>
      </w:r>
      <w:r>
        <w:rPr>
          <w:rFonts w:ascii="Times New Roman" w:hAnsi="Times New Roman" w:hint="default"/>
          <w:sz w:val="24"/>
          <w:szCs w:val="24"/>
          <w:rtl w:val="0"/>
        </w:rPr>
        <w:t>– С</w:t>
      </w:r>
      <w:r>
        <w:rPr>
          <w:rFonts w:ascii="Times New Roman" w:hAnsi="Times New Roman"/>
          <w:sz w:val="24"/>
          <w:szCs w:val="24"/>
          <w:rtl w:val="0"/>
        </w:rPr>
        <w:t>. 109</w:t>
      </w:r>
      <w:r>
        <w:rPr>
          <w:rFonts w:ascii="Times New Roman" w:hAnsi="Times New Roman" w:hint="default"/>
          <w:sz w:val="24"/>
          <w:szCs w:val="24"/>
          <w:rtl w:val="0"/>
        </w:rPr>
        <w:t>–</w:t>
      </w:r>
      <w:r>
        <w:rPr>
          <w:rFonts w:ascii="Times New Roman" w:hAnsi="Times New Roman"/>
          <w:sz w:val="24"/>
          <w:szCs w:val="24"/>
          <w:rtl w:val="0"/>
        </w:rPr>
        <w:t xml:space="preserve">125.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sz w:val="24"/>
          <w:szCs w:val="24"/>
          <w:rtl w:val="0"/>
        </w:rPr>
        <w:t>DOI: 10.21638/11701/spbu16.2016.310.</w:t>
      </w:r>
    </w:p>
    <w:p>
      <w:pPr>
        <w:pStyle w:val="Основной текст"/>
        <w:ind w:firstLine="39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3. </w:t>
      </w:r>
      <w:r>
        <w:rPr>
          <w:rFonts w:ascii="Times New Roman" w:hAnsi="Times New Roman" w:hint="default"/>
          <w:sz w:val="24"/>
          <w:szCs w:val="24"/>
          <w:rtl w:val="0"/>
        </w:rPr>
        <w:t>Герасимчук Е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С</w:t>
      </w:r>
      <w:r>
        <w:rPr>
          <w:rFonts w:ascii="Times New Roman" w:hAnsi="Times New Roman"/>
          <w:sz w:val="24"/>
          <w:szCs w:val="24"/>
          <w:rtl w:val="0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</w:rPr>
        <w:t>Лутова Н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Б</w:t>
      </w:r>
      <w:r>
        <w:rPr>
          <w:rFonts w:ascii="Times New Roman" w:hAnsi="Times New Roman"/>
          <w:sz w:val="24"/>
          <w:szCs w:val="24"/>
          <w:rtl w:val="0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</w:rPr>
        <w:t>Хобейш М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А</w:t>
      </w:r>
      <w:r>
        <w:rPr>
          <w:rFonts w:ascii="Times New Roman" w:hAnsi="Times New Roman"/>
          <w:sz w:val="24"/>
          <w:szCs w:val="24"/>
          <w:rtl w:val="0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Макаревич О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В</w:t>
      </w:r>
      <w:r>
        <w:rPr>
          <w:rFonts w:ascii="Times New Roman" w:hAnsi="Times New Roman"/>
          <w:sz w:val="24"/>
          <w:szCs w:val="24"/>
          <w:rtl w:val="0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Сорокин М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Ю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Клиническая адаптация и валидация русскоязычной версии опросника оценки негативного детского опыта </w:t>
      </w:r>
      <w:r>
        <w:rPr>
          <w:rFonts w:ascii="Times New Roman" w:hAnsi="Times New Roman"/>
          <w:sz w:val="24"/>
          <w:szCs w:val="24"/>
          <w:rtl w:val="0"/>
        </w:rPr>
        <w:t xml:space="preserve">(ACE-10) //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Консультативная психология и психотерапия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sz w:val="24"/>
          <w:szCs w:val="24"/>
          <w:rtl w:val="0"/>
        </w:rPr>
        <w:t xml:space="preserve">2025. </w:t>
      </w:r>
      <w:r>
        <w:rPr>
          <w:rFonts w:ascii="Times New Roman" w:hAnsi="Times New Roman" w:hint="default"/>
          <w:sz w:val="24"/>
          <w:szCs w:val="24"/>
          <w:rtl w:val="0"/>
        </w:rPr>
        <w:t>– Т</w:t>
      </w:r>
      <w:r>
        <w:rPr>
          <w:rFonts w:ascii="Times New Roman" w:hAnsi="Times New Roman"/>
          <w:sz w:val="24"/>
          <w:szCs w:val="24"/>
          <w:rtl w:val="0"/>
        </w:rPr>
        <w:t xml:space="preserve">. 33.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– № </w:t>
      </w:r>
      <w:r>
        <w:rPr>
          <w:rFonts w:ascii="Times New Roman" w:hAnsi="Times New Roman"/>
          <w:sz w:val="24"/>
          <w:szCs w:val="24"/>
          <w:rtl w:val="0"/>
        </w:rPr>
        <w:t xml:space="preserve">2. </w:t>
      </w:r>
      <w:r>
        <w:rPr>
          <w:rFonts w:ascii="Times New Roman" w:hAnsi="Times New Roman" w:hint="default"/>
          <w:sz w:val="24"/>
          <w:szCs w:val="24"/>
          <w:rtl w:val="0"/>
        </w:rPr>
        <w:t>– С</w:t>
      </w:r>
      <w:r>
        <w:rPr>
          <w:rFonts w:ascii="Times New Roman" w:hAnsi="Times New Roman"/>
          <w:sz w:val="24"/>
          <w:szCs w:val="24"/>
          <w:rtl w:val="0"/>
        </w:rPr>
        <w:t>. 97</w:t>
      </w:r>
      <w:r>
        <w:rPr>
          <w:rFonts w:ascii="Times New Roman" w:hAnsi="Times New Roman" w:hint="default"/>
          <w:sz w:val="24"/>
          <w:szCs w:val="24"/>
          <w:rtl w:val="0"/>
        </w:rPr>
        <w:t>–</w:t>
      </w:r>
      <w:r>
        <w:rPr>
          <w:rFonts w:ascii="Times New Roman" w:hAnsi="Times New Roman"/>
          <w:sz w:val="24"/>
          <w:szCs w:val="24"/>
          <w:rtl w:val="0"/>
        </w:rPr>
        <w:t xml:space="preserve">123.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sz w:val="24"/>
          <w:szCs w:val="24"/>
          <w:rtl w:val="0"/>
        </w:rPr>
        <w:t>DOI: 10.17759/cpp.2025330205.</w:t>
      </w:r>
    </w:p>
    <w:p>
      <w:pPr>
        <w:pStyle w:val="Основной текст"/>
        <w:ind w:firstLine="39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Лолаева А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С</w:t>
      </w:r>
      <w:r>
        <w:rPr>
          <w:rFonts w:ascii="Times New Roman" w:hAnsi="Times New Roman"/>
          <w:sz w:val="24"/>
          <w:szCs w:val="24"/>
          <w:rtl w:val="0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</w:rPr>
        <w:t>Худалова М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З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Влияние детской психологической травмы на взрослую жизнь </w:t>
      </w:r>
      <w:r>
        <w:rPr>
          <w:rFonts w:ascii="Times New Roman" w:hAnsi="Times New Roman"/>
          <w:sz w:val="24"/>
          <w:szCs w:val="24"/>
          <w:rtl w:val="0"/>
        </w:rPr>
        <w:t xml:space="preserve">// </w:t>
      </w:r>
      <w:r>
        <w:rPr>
          <w:rFonts w:ascii="Times New Roman" w:hAnsi="Times New Roman" w:hint="default"/>
          <w:sz w:val="24"/>
          <w:szCs w:val="24"/>
          <w:rtl w:val="0"/>
        </w:rPr>
        <w:t>Психолог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2024.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– № </w:t>
      </w:r>
      <w:r>
        <w:rPr>
          <w:rFonts w:ascii="Times New Roman" w:hAnsi="Times New Roman"/>
          <w:sz w:val="24"/>
          <w:szCs w:val="24"/>
          <w:rtl w:val="0"/>
        </w:rPr>
        <w:t xml:space="preserve">2.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sz w:val="24"/>
          <w:szCs w:val="24"/>
          <w:rtl w:val="0"/>
        </w:rPr>
        <w:t>URL: https://cyberleninka.ru/article/n/vliyanie-detskoy-psihologicheskoy-travmy-na-vzrosluyu-zhizn (</w:t>
      </w:r>
      <w:r>
        <w:rPr>
          <w:rFonts w:ascii="Times New Roman" w:hAnsi="Times New Roman" w:hint="default"/>
          <w:sz w:val="24"/>
          <w:szCs w:val="24"/>
          <w:rtl w:val="0"/>
        </w:rPr>
        <w:t>дата обращения</w:t>
      </w:r>
      <w:r>
        <w:rPr>
          <w:rFonts w:ascii="Times New Roman" w:hAnsi="Times New Roman"/>
          <w:sz w:val="24"/>
          <w:szCs w:val="24"/>
          <w:rtl w:val="0"/>
        </w:rPr>
        <w:t>: 05.04.2026).</w:t>
      </w:r>
    </w:p>
    <w:p>
      <w:pPr>
        <w:pStyle w:val="Основной текст"/>
        <w:ind w:firstLine="39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5. </w:t>
      </w:r>
      <w:r>
        <w:rPr>
          <w:rFonts w:ascii="Times New Roman" w:hAnsi="Times New Roman" w:hint="default"/>
          <w:sz w:val="24"/>
          <w:szCs w:val="24"/>
          <w:rtl w:val="0"/>
        </w:rPr>
        <w:t>Старостина Е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Г</w:t>
      </w:r>
      <w:r>
        <w:rPr>
          <w:rFonts w:ascii="Times New Roman" w:hAnsi="Times New Roman"/>
          <w:sz w:val="24"/>
          <w:szCs w:val="24"/>
          <w:rtl w:val="0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Тэйлор Г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Д</w:t>
      </w:r>
      <w:r>
        <w:rPr>
          <w:rFonts w:ascii="Times New Roman" w:hAnsi="Times New Roman"/>
          <w:sz w:val="24"/>
          <w:szCs w:val="24"/>
          <w:rtl w:val="0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</w:rPr>
        <w:t>Квилти Л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К</w:t>
      </w:r>
      <w:r>
        <w:rPr>
          <w:rFonts w:ascii="Times New Roman" w:hAnsi="Times New Roman"/>
          <w:sz w:val="24"/>
          <w:szCs w:val="24"/>
          <w:rtl w:val="0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</w:rPr>
        <w:t>Бобров А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</w:t>
      </w:r>
      <w:r>
        <w:rPr>
          <w:rFonts w:ascii="Times New Roman" w:hAnsi="Times New Roman"/>
          <w:sz w:val="24"/>
          <w:szCs w:val="24"/>
          <w:rtl w:val="0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</w:rPr>
        <w:t>Мошняга Е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Н</w:t>
      </w:r>
      <w:r>
        <w:rPr>
          <w:rFonts w:ascii="Times New Roman" w:hAnsi="Times New Roman"/>
          <w:sz w:val="24"/>
          <w:szCs w:val="24"/>
          <w:rtl w:val="0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Пузырева Н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В</w:t>
      </w:r>
      <w:r>
        <w:rPr>
          <w:rFonts w:ascii="Times New Roman" w:hAnsi="Times New Roman"/>
          <w:sz w:val="24"/>
          <w:szCs w:val="24"/>
          <w:rtl w:val="0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</w:rPr>
        <w:t>Боброва М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А</w:t>
      </w:r>
      <w:r>
        <w:rPr>
          <w:rFonts w:ascii="Times New Roman" w:hAnsi="Times New Roman"/>
          <w:sz w:val="24"/>
          <w:szCs w:val="24"/>
          <w:rtl w:val="0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</w:rPr>
        <w:t>Ивашкина М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Г</w:t>
      </w:r>
      <w:r>
        <w:rPr>
          <w:rFonts w:ascii="Times New Roman" w:hAnsi="Times New Roman"/>
          <w:sz w:val="24"/>
          <w:szCs w:val="24"/>
          <w:rtl w:val="0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</w:rPr>
        <w:t>Кривчикова М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Н</w:t>
      </w:r>
      <w:r>
        <w:rPr>
          <w:rFonts w:ascii="Times New Roman" w:hAnsi="Times New Roman"/>
          <w:sz w:val="24"/>
          <w:szCs w:val="24"/>
          <w:rtl w:val="0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</w:rPr>
        <w:t>Шаврикова Е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П</w:t>
      </w:r>
      <w:r>
        <w:rPr>
          <w:rFonts w:ascii="Times New Roman" w:hAnsi="Times New Roman"/>
          <w:sz w:val="24"/>
          <w:szCs w:val="24"/>
          <w:rtl w:val="0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Бэгби Р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М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Торонтская шкала алекситимии </w:t>
      </w:r>
      <w:r>
        <w:rPr>
          <w:rFonts w:ascii="Times New Roman" w:hAnsi="Times New Roman"/>
          <w:sz w:val="24"/>
          <w:szCs w:val="24"/>
          <w:rtl w:val="0"/>
        </w:rPr>
        <w:t xml:space="preserve">(20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пунктов</w:t>
      </w:r>
      <w:r>
        <w:rPr>
          <w:rFonts w:ascii="Times New Roman" w:hAnsi="Times New Roman"/>
          <w:sz w:val="24"/>
          <w:szCs w:val="24"/>
          <w:rtl w:val="0"/>
        </w:rPr>
        <w:t xml:space="preserve">):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валидизация русскоязычной версии на выборке терапевтических больных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sz w:val="24"/>
          <w:szCs w:val="24"/>
          <w:rtl w:val="0"/>
        </w:rPr>
        <w:t>2010.</w:t>
      </w:r>
    </w:p>
    <w:p>
      <w:pPr>
        <w:pStyle w:val="Основной текст"/>
        <w:ind w:firstLine="397"/>
        <w:jc w:val="both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Шкала созависимости Уайнхолд </w:t>
      </w:r>
      <w:r>
        <w:rPr>
          <w:rFonts w:ascii="Times New Roman" w:hAnsi="Times New Roman"/>
          <w:sz w:val="24"/>
          <w:szCs w:val="24"/>
          <w:rtl w:val="0"/>
          <w:lang w:val="pt-PT"/>
        </w:rPr>
        <w:t>[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Электронный ресурс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] // </w:t>
      </w:r>
      <w:r>
        <w:rPr>
          <w:rFonts w:ascii="Times New Roman" w:hAnsi="Times New Roman"/>
          <w:sz w:val="24"/>
          <w:szCs w:val="24"/>
          <w:rtl w:val="0"/>
          <w:lang w:val="en-US"/>
        </w:rPr>
        <w:t>Psydip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en-US"/>
        </w:rPr>
        <w:t>URL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/>
          <w:sz w:val="24"/>
          <w:szCs w:val="24"/>
          <w:rtl w:val="0"/>
          <w:lang w:val="en-US"/>
        </w:rPr>
        <w:t>https</w:t>
      </w:r>
      <w:r>
        <w:rPr>
          <w:rFonts w:ascii="Times New Roman" w:hAnsi="Times New Roman"/>
          <w:sz w:val="24"/>
          <w:szCs w:val="24"/>
          <w:rtl w:val="0"/>
          <w:lang w:val="ru-RU"/>
        </w:rPr>
        <w:t>://</w:t>
      </w:r>
      <w:r>
        <w:rPr>
          <w:rFonts w:ascii="Times New Roman" w:hAnsi="Times New Roman"/>
          <w:sz w:val="24"/>
          <w:szCs w:val="24"/>
          <w:rtl w:val="0"/>
          <w:lang w:val="en-US"/>
        </w:rPr>
        <w:t>psydip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en-US"/>
        </w:rPr>
        <w:t>ru</w:t>
      </w:r>
      <w:r>
        <w:rPr>
          <w:rFonts w:ascii="Times New Roman" w:hAnsi="Times New Roman"/>
          <w:sz w:val="24"/>
          <w:szCs w:val="24"/>
          <w:rtl w:val="0"/>
          <w:lang w:val="ru-RU"/>
        </w:rPr>
        <w:t>/</w:t>
      </w:r>
      <w:r>
        <w:rPr>
          <w:rFonts w:ascii="Times New Roman" w:hAnsi="Times New Roman"/>
          <w:sz w:val="24"/>
          <w:szCs w:val="24"/>
          <w:rtl w:val="0"/>
          <w:lang w:val="en-US"/>
        </w:rPr>
        <w:t>shkala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/>
          <w:sz w:val="24"/>
          <w:szCs w:val="24"/>
          <w:rtl w:val="0"/>
          <w:lang w:val="en-US"/>
        </w:rPr>
        <w:t>sozavisimosti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/>
          <w:sz w:val="24"/>
          <w:szCs w:val="24"/>
          <w:rtl w:val="0"/>
          <w:lang w:val="en-US"/>
        </w:rPr>
        <w:t>uaynhold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дата обращения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: 13.02.2026).</w:t>
      </w: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  <w:sz w:val="37"/>
          <w:szCs w:val="37"/>
          <w:shd w:val="clear" w:color="auto" w:fill="ffffff"/>
        </w:rPr>
      </w:pPr>
    </w:p>
    <w:p>
      <w:pPr>
        <w:pStyle w:val="Основной текст"/>
        <w:ind w:firstLine="397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ind w:firstLine="397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ind w:firstLine="397"/>
        <w:jc w:val="both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По умолчанию"/>
        <w:suppressAutoHyphens w:val="1"/>
        <w:spacing w:before="0" w:line="240" w:lineRule="auto"/>
        <w:rPr>
          <w:rFonts w:ascii="Times New Roman" w:cs="Times New Roman" w:hAnsi="Times New Roman" w:eastAsia="Times New Roman"/>
          <w:sz w:val="37"/>
          <w:szCs w:val="37"/>
          <w:shd w:val="clear" w:color="auto" w:fill="ffffff"/>
        </w:rPr>
      </w:pPr>
    </w:p>
    <w:p>
      <w:pPr>
        <w:pStyle w:val="Основной текст"/>
        <w:ind w:firstLine="397"/>
        <w:jc w:val="both"/>
      </w:pPr>
      <w:r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r>
    </w:p>
    <w:sectPr>
      <w:headerReference w:type="default" r:id="rId4"/>
      <w:footerReference w:type="default" r:id="rId5"/>
      <w:pgSz w:w="11906" w:h="16838" w:orient="portrait"/>
      <w:pgMar w:top="1134" w:right="1361" w:bottom="1134" w:left="1361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tabs>
        <w:tab w:val="center" w:pos="4592"/>
        <w:tab w:val="right" w:pos="9184"/>
        <w:tab w:val="clear" w:pos="9020"/>
      </w:tabs>
      <w:jc w:val="left"/>
    </w:pPr>
    <w:r>
      <w:rPr>
        <w:rFonts w:ascii="Times New Roman" w:hAnsi="Times New Roman"/>
      </w:rPr>
      <w:tab/>
    </w:r>
    <w:r>
      <w:rPr>
        <w:rFonts w:ascii="Times New Roman" w:hAnsi="Times New Roman"/>
      </w:rPr>
      <w:fldChar w:fldCharType="begin" w:fldLock="0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 w:fldLock="0"/>
    </w:r>
    <w:r>
      <w:rPr>
        <w:rFonts w:ascii="Times New Roman" w:hAnsi="Times New Roman"/>
      </w:rPr>
    </w:r>
    <w:r>
      <w:rPr>
        <w:rFonts w:ascii="Times New Roman" w:hAnsi="Times New Roman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