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0138675" w:rsidR="00163779" w:rsidRPr="006C6B33" w:rsidRDefault="00182B04">
      <w:pPr>
        <w:jc w:val="center"/>
        <w:rPr>
          <w:sz w:val="24"/>
          <w:szCs w:val="24"/>
        </w:rPr>
      </w:pPr>
      <w:r w:rsidRPr="006C6B33">
        <w:rPr>
          <w:b/>
          <w:bCs/>
          <w:sz w:val="24"/>
          <w:szCs w:val="24"/>
        </w:rPr>
        <w:t>Поэтика номинаций в пьесе Е.Л. Шварца «Дракон»</w:t>
      </w:r>
    </w:p>
    <w:p w14:paraId="00000002" w14:textId="154F636D" w:rsidR="00163779" w:rsidRPr="006E440E" w:rsidRDefault="006E440E">
      <w:pPr>
        <w:jc w:val="center"/>
        <w:rPr>
          <w:i/>
          <w:iCs/>
          <w:sz w:val="24"/>
          <w:szCs w:val="24"/>
          <w:lang w:val="ru-RU"/>
        </w:rPr>
      </w:pPr>
      <w:r>
        <w:rPr>
          <w:b/>
          <w:bCs/>
          <w:i/>
          <w:iCs/>
          <w:sz w:val="24"/>
          <w:szCs w:val="24"/>
        </w:rPr>
        <w:t>Калинина Алиса</w:t>
      </w:r>
      <w:r>
        <w:rPr>
          <w:b/>
          <w:bCs/>
          <w:i/>
          <w:iCs/>
          <w:sz w:val="24"/>
          <w:szCs w:val="24"/>
          <w:lang w:val="ru-RU"/>
        </w:rPr>
        <w:t xml:space="preserve"> Сергеевна</w:t>
      </w:r>
    </w:p>
    <w:p w14:paraId="00000003" w14:textId="518C43AB" w:rsidR="00163779" w:rsidRPr="006C6B33" w:rsidRDefault="006C6B33">
      <w:pPr>
        <w:jc w:val="center"/>
        <w:rPr>
          <w:sz w:val="24"/>
          <w:szCs w:val="24"/>
        </w:rPr>
      </w:pPr>
      <w:r w:rsidRPr="006C6B33">
        <w:rPr>
          <w:i/>
          <w:iCs/>
          <w:sz w:val="24"/>
          <w:szCs w:val="24"/>
        </w:rPr>
        <w:t>Студент</w:t>
      </w:r>
    </w:p>
    <w:p w14:paraId="31F939C0" w14:textId="5BEC5D93" w:rsidR="006C6B33" w:rsidRPr="006C6B33" w:rsidRDefault="006C6B33">
      <w:pPr>
        <w:jc w:val="center"/>
        <w:rPr>
          <w:i/>
          <w:iCs/>
          <w:sz w:val="24"/>
          <w:szCs w:val="24"/>
        </w:rPr>
      </w:pPr>
      <w:r w:rsidRPr="006C6B33">
        <w:rPr>
          <w:i/>
          <w:iCs/>
          <w:sz w:val="24"/>
          <w:szCs w:val="24"/>
        </w:rPr>
        <w:t>Филиал Московского государственного университета им. М.В. Ломоносова в г. Севастополе, историко-филологический факультет, г. Севастополь, Россия</w:t>
      </w:r>
    </w:p>
    <w:p w14:paraId="00000006" w14:textId="2201968C" w:rsidR="00163779" w:rsidRPr="006C6B33" w:rsidRDefault="00182B04">
      <w:pPr>
        <w:jc w:val="center"/>
        <w:rPr>
          <w:sz w:val="24"/>
          <w:szCs w:val="24"/>
          <w:lang w:val="en-US"/>
        </w:rPr>
      </w:pPr>
      <w:r w:rsidRPr="006C6B33">
        <w:rPr>
          <w:i/>
          <w:iCs/>
          <w:sz w:val="24"/>
          <w:szCs w:val="24"/>
          <w:lang w:val="en-US"/>
        </w:rPr>
        <w:t>E–mail: Kalinina-alisa-sergeevna@yandex.ru</w:t>
      </w:r>
    </w:p>
    <w:p w14:paraId="00000007" w14:textId="358DF0E0" w:rsidR="00163779" w:rsidRPr="006C6B33" w:rsidRDefault="006C6B33" w:rsidP="006C6B33">
      <w:pPr>
        <w:ind w:firstLine="397"/>
        <w:jc w:val="both"/>
        <w:rPr>
          <w:sz w:val="24"/>
          <w:szCs w:val="24"/>
        </w:rPr>
      </w:pPr>
      <w:r w:rsidRPr="006C6B33">
        <w:rPr>
          <w:sz w:val="24"/>
          <w:szCs w:val="24"/>
        </w:rPr>
        <w:t>Драматургия Е.</w:t>
      </w:r>
      <w:r w:rsidR="00182B04" w:rsidRPr="006C6B33">
        <w:rPr>
          <w:sz w:val="24"/>
          <w:szCs w:val="24"/>
        </w:rPr>
        <w:t>Л. Шварца в последние годы вызывает интерес у исследователей: изучаются жанровая природа его пьес [3, 4, 8], мифологические и интертекстуальные основания сюжетов [5, 6, 7], политическая аллегория [9]. Вместе с тем языковая организация текста, в частности, система номинаций персонажей, остаётся на периферии научного внимания, что и определяет актуальность настоящего исследования.</w:t>
      </w:r>
    </w:p>
    <w:p w14:paraId="00000008" w14:textId="2ABEB972" w:rsidR="00163779" w:rsidRPr="006C6B33" w:rsidRDefault="00182B04" w:rsidP="006C6B33">
      <w:pPr>
        <w:ind w:firstLine="397"/>
        <w:jc w:val="both"/>
        <w:rPr>
          <w:sz w:val="24"/>
          <w:szCs w:val="24"/>
        </w:rPr>
      </w:pPr>
      <w:r w:rsidRPr="006C6B33">
        <w:rPr>
          <w:sz w:val="24"/>
          <w:szCs w:val="24"/>
        </w:rPr>
        <w:t xml:space="preserve">Цель исследования </w:t>
      </w:r>
      <w:r w:rsidRPr="006C6B33">
        <w:rPr>
          <w:color w:val="000000"/>
          <w:sz w:val="24"/>
          <w:szCs w:val="24"/>
        </w:rPr>
        <w:t>–</w:t>
      </w:r>
      <w:r w:rsidRPr="006C6B33">
        <w:rPr>
          <w:color w:val="000000"/>
          <w:sz w:val="24"/>
          <w:szCs w:val="24"/>
          <w:lang w:val="ru-RU"/>
        </w:rPr>
        <w:t xml:space="preserve"> </w:t>
      </w:r>
      <w:r w:rsidRPr="006C6B33">
        <w:rPr>
          <w:sz w:val="24"/>
          <w:szCs w:val="24"/>
        </w:rPr>
        <w:t>выявить роль системы номинаций в характеристике Ланцелота, Д</w:t>
      </w:r>
      <w:r w:rsidR="006C6B33" w:rsidRPr="006C6B33">
        <w:rPr>
          <w:sz w:val="24"/>
          <w:szCs w:val="24"/>
        </w:rPr>
        <w:t>ракона и Бургомистра в пьесе Е.</w:t>
      </w:r>
      <w:r w:rsidRPr="006C6B33">
        <w:rPr>
          <w:sz w:val="24"/>
          <w:szCs w:val="24"/>
        </w:rPr>
        <w:t xml:space="preserve">Л. Шварца «Дракон». Методологической основой </w:t>
      </w:r>
      <w:r w:rsidR="006C6B33" w:rsidRPr="006C6B33">
        <w:rPr>
          <w:sz w:val="24"/>
          <w:szCs w:val="24"/>
        </w:rPr>
        <w:t>служит теория точек зрения Б.</w:t>
      </w:r>
      <w:r w:rsidRPr="006C6B33">
        <w:rPr>
          <w:sz w:val="24"/>
          <w:szCs w:val="24"/>
        </w:rPr>
        <w:t>А. Успенского [1], согласно которой выбор наименования персонажа обусловлен позицией называющего и нередко отражает его идеологическую установку. Успенский показывает, что одно и то же лицо может называться различными именами, причём «нередко эти различные наименования сталкиваются в одной фразе или же непосредственно близко в тексте» [1]. Выбор наименования никогда не нейтрален: говорящий может называть лицо со своей собственной точки зрения, с точки зрения собеседника, с точки зрения самого называемого или с абстрактной позиции постороннего наблюдателя. При этом «то или иное отношение к герою проявляется прежде всего в том, как он именуется, а эволюция героя отражается в смене наименований» [1]. Существенным дополнением служат</w:t>
      </w:r>
      <w:r w:rsidR="006C6B33" w:rsidRPr="006C6B33">
        <w:rPr>
          <w:sz w:val="24"/>
          <w:szCs w:val="24"/>
        </w:rPr>
        <w:t xml:space="preserve"> наблюдения Н.</w:t>
      </w:r>
      <w:r w:rsidRPr="006C6B33">
        <w:rPr>
          <w:sz w:val="24"/>
          <w:szCs w:val="24"/>
        </w:rPr>
        <w:t xml:space="preserve">А. Кожевниковой о приёме двойного наименования [2]. Исследовательница описывает движение от неопределённого обозначения к точному как отражение «последовательной смены впечатлений одного персонажа, движение от незнания к узнаванию»: когда сначала герой обозначается обобщённо по внешнему признаку или функции и лишь затем получает имя [2]. В драматическом тексте этот приём трансформируется: в отсутствие развёрнутого авторского повествования ремарка становится единственным пространством, где авторская точка зрения выражается напрямую, тогда как реплики персонажей представляют собой основное поле столкновения различных номинаций. </w:t>
      </w:r>
    </w:p>
    <w:p w14:paraId="00000009" w14:textId="26F7883D" w:rsidR="00163779" w:rsidRPr="006C6B33" w:rsidRDefault="00182B04" w:rsidP="006C6B33">
      <w:pPr>
        <w:ind w:firstLine="397"/>
        <w:jc w:val="both"/>
        <w:rPr>
          <w:sz w:val="24"/>
          <w:szCs w:val="24"/>
        </w:rPr>
      </w:pPr>
      <w:r w:rsidRPr="006C6B33">
        <w:rPr>
          <w:sz w:val="24"/>
          <w:szCs w:val="24"/>
        </w:rPr>
        <w:t xml:space="preserve">Три центральных персонажа </w:t>
      </w:r>
      <w:r w:rsidRPr="006C6B33">
        <w:rPr>
          <w:color w:val="000000"/>
          <w:sz w:val="24"/>
          <w:szCs w:val="24"/>
        </w:rPr>
        <w:t>–</w:t>
      </w:r>
      <w:r w:rsidRPr="006C6B33">
        <w:rPr>
          <w:sz w:val="24"/>
          <w:szCs w:val="24"/>
        </w:rPr>
        <w:t xml:space="preserve"> Ланцелот, Дракон и Бургомистр, выбраны не случайно: они демонстрируют различные модели самопредставления и именования, образуя своего рода трёхполюсную систему. </w:t>
      </w:r>
      <w:r w:rsidRPr="006C6B33">
        <w:rPr>
          <w:color w:val="1A1A1A"/>
          <w:sz w:val="24"/>
          <w:szCs w:val="24"/>
          <w:highlight w:val="white"/>
        </w:rPr>
        <w:t xml:space="preserve">Все приведённые в работе номинации процитированы по изданию пьесы «Дракон» Шварца 1998 г. [10]. </w:t>
      </w:r>
      <w:r w:rsidRPr="006C6B33">
        <w:rPr>
          <w:sz w:val="24"/>
          <w:szCs w:val="24"/>
        </w:rPr>
        <w:t xml:space="preserve">Ланцелот обладает стабильной идентичностью: авторская номинация неизменна на протяжении всех трёх действий. Во внутреннем монологе герой представляется не через имя, а через этическую формулу «я человек», тем самым декларируя идеологическую позицию, противопоставленную «звериному» началу Дракона. Номинации Ланцелота другими персонажами образуют дифференцированный спектр: Дракон использует нейтральное обозначение «странник»; Эльза начинает с формулы «господин прохожий» и переходит к формуле «господин Ланцелот». Там же, действуя по схеме двойного наименования, Кот с первого появления прибегает к вежливой форме обращения «дорогой Ланцелот». Во втором действии личное имя героя вытесняется функциональными обозначениями: «наш спаситель», «Георгий Победоносец», «господин герой», </w:t>
      </w:r>
      <w:r w:rsidRPr="006C6B33">
        <w:rPr>
          <w:color w:val="000000"/>
          <w:sz w:val="24"/>
          <w:szCs w:val="24"/>
        </w:rPr>
        <w:t>–</w:t>
      </w:r>
      <w:r w:rsidRPr="006C6B33">
        <w:rPr>
          <w:sz w:val="24"/>
          <w:szCs w:val="24"/>
        </w:rPr>
        <w:t xml:space="preserve"> что обнажает идеологическую логику персонажей, для которых общественная роль важнее индивидуальности.</w:t>
      </w:r>
    </w:p>
    <w:p w14:paraId="0000000A" w14:textId="32EAD212" w:rsidR="00163779" w:rsidRPr="006C6B33" w:rsidRDefault="00182B04" w:rsidP="006C6B33">
      <w:pPr>
        <w:ind w:firstLine="397"/>
        <w:jc w:val="both"/>
        <w:rPr>
          <w:sz w:val="24"/>
          <w:szCs w:val="24"/>
        </w:rPr>
      </w:pPr>
      <w:r w:rsidRPr="006C6B33">
        <w:rPr>
          <w:sz w:val="24"/>
          <w:szCs w:val="24"/>
        </w:rPr>
        <w:t xml:space="preserve">Номинация Дракона представляет пример динамики точки зрения: авторская точка не сохраняет единого обозначения, а меняется вслед за самораскрытием персонажа. До момента самоназывания его обозначает его в ремарках как «человек», после как «Дракон». Это обратная версия двойного наименования: авторский текст следует за самораскрытием персонажа, удостоверяя его. Ремарки фиксируют и звериное измерение героя («огромное, древнее, злобное чудовище»), что в психологическом плане создаёт образ через внешние проявления, не раскрывая внутреннего состояния. Самономинация Дракона прямолинейна: «я </w:t>
      </w:r>
      <w:r w:rsidRPr="006C6B33">
        <w:rPr>
          <w:color w:val="000000"/>
          <w:sz w:val="24"/>
          <w:szCs w:val="24"/>
        </w:rPr>
        <w:t>–</w:t>
      </w:r>
      <w:r w:rsidRPr="006C6B33">
        <w:rPr>
          <w:sz w:val="24"/>
          <w:szCs w:val="24"/>
        </w:rPr>
        <w:t xml:space="preserve"> дракон». Номинации со стороны других персонажей образуют два полюса: официальное «ваше превосходительство» и подчёркнуто фамильярные «дракоша», «голубчик», «душечка-цыпочка» в речи Бургомистра и Генриха. По замечанию Харитонова, подобное шутовство «не является фрондой» </w:t>
      </w:r>
      <w:r w:rsidRPr="006C6B33">
        <w:rPr>
          <w:color w:val="000000"/>
          <w:sz w:val="24"/>
          <w:szCs w:val="24"/>
        </w:rPr>
        <w:t>–</w:t>
      </w:r>
      <w:r w:rsidRPr="006C6B33">
        <w:rPr>
          <w:sz w:val="24"/>
          <w:szCs w:val="24"/>
        </w:rPr>
        <w:t xml:space="preserve"> напротив, Бургомистр последовательно проводит угодную Дракону политику, а фамильярность служит лишь маскировкой подчинения [9].</w:t>
      </w:r>
    </w:p>
    <w:p w14:paraId="0000000B" w14:textId="77777777" w:rsidR="00163779" w:rsidRPr="006C6B33" w:rsidRDefault="00182B04" w:rsidP="006C6B33">
      <w:pPr>
        <w:ind w:firstLine="397"/>
        <w:jc w:val="both"/>
        <w:rPr>
          <w:sz w:val="24"/>
          <w:szCs w:val="24"/>
        </w:rPr>
      </w:pPr>
      <w:r w:rsidRPr="006C6B33">
        <w:rPr>
          <w:sz w:val="24"/>
          <w:szCs w:val="24"/>
        </w:rPr>
        <w:t>Бургомистр представляет наиболее показательный случай расхождения между точками зрения автора и персонажей. На протяжении всех трёх действий, включая третье, где большинство героев именуют его «президентом», авторская ремарка неизменно сохраняет обозначение «бургомистр». Шварц намеренно оставляет собственную позицию: авторская ремарка превращается в идеологический комментарий, утверждающий, что смена должности не меняет природы персонажа. Единственным прорывом за маску персонажа является ремарка, описывающая его как «крошечного мертвенно-бледного пожилого человечка»: уменьшительность формы и цветовая характеристика создают образ человека, утратившего жизненное начало. Самономинация у Бургомистра отсутствует полностью: он единственный из трёх центральных персонажей, кто нигде себя не называет. В третьем действии Ланцелот использует двойную номинацию «бургомистр» и «президент» одновременно, обнажая разрыв между тем, кем персонаж был, и кем притворяется.</w:t>
      </w:r>
    </w:p>
    <w:p w14:paraId="23F2ED76" w14:textId="77777777" w:rsidR="006C6B33" w:rsidRDefault="00182B04" w:rsidP="006C6B33">
      <w:pPr>
        <w:ind w:firstLine="397"/>
        <w:jc w:val="both"/>
        <w:rPr>
          <w:sz w:val="24"/>
          <w:szCs w:val="24"/>
        </w:rPr>
      </w:pPr>
      <w:r w:rsidRPr="006C6B33">
        <w:rPr>
          <w:sz w:val="24"/>
          <w:szCs w:val="24"/>
        </w:rPr>
        <w:t xml:space="preserve">Три центральных персонажа пьесы представляют три принципиально различные модели номинации. Ланцелот обладает стабильной идентичностью: авторская номинация неизменна, имя признаётся теми, кто видит в нём личность, и отвергается теми, кто видит лишь функцию. Дракон демонстрирует модель самораскрытия: автор следует за его самономинацией, подтверждая её, тогда как обращения других персонажей образуют шкалу страха и лести. Бургомистр представляет случай отсутствия идентичности: нет самономинации, авторская номинация фиксирует подлинную суть вопреки внешним переименованиям. Таким образом, система номинаций в «Драконе» функционирует не как технический приём идентификации персонажей, но как идеологический инструмент: наименование всегда принадлежит называющему и отражает его позицию. </w:t>
      </w:r>
    </w:p>
    <w:p w14:paraId="0000000E" w14:textId="343658A1" w:rsidR="00163779" w:rsidRPr="006C6B33" w:rsidRDefault="00182B04" w:rsidP="006C6B33">
      <w:pPr>
        <w:ind w:firstLine="397"/>
        <w:jc w:val="both"/>
        <w:rPr>
          <w:sz w:val="24"/>
          <w:szCs w:val="24"/>
        </w:rPr>
      </w:pPr>
      <w:r w:rsidRPr="006C6B33">
        <w:rPr>
          <w:b/>
          <w:bCs/>
          <w:sz w:val="24"/>
          <w:szCs w:val="24"/>
        </w:rPr>
        <w:t>Литература</w:t>
      </w:r>
    </w:p>
    <w:p w14:paraId="0000000F" w14:textId="365CFFDA" w:rsidR="00163779" w:rsidRPr="006C6B33" w:rsidRDefault="006C6B33" w:rsidP="00C11D2D">
      <w:pPr>
        <w:pStyle w:val="a5"/>
        <w:numPr>
          <w:ilvl w:val="0"/>
          <w:numId w:val="2"/>
        </w:numPr>
        <w:ind w:left="357" w:firstLine="69"/>
        <w:jc w:val="both"/>
        <w:rPr>
          <w:sz w:val="24"/>
          <w:szCs w:val="24"/>
        </w:rPr>
      </w:pPr>
      <w:r w:rsidRPr="006C6B33">
        <w:rPr>
          <w:sz w:val="24"/>
          <w:szCs w:val="24"/>
        </w:rPr>
        <w:t>Успенский Б.</w:t>
      </w:r>
      <w:r w:rsidR="00182B04" w:rsidRPr="006C6B33">
        <w:rPr>
          <w:sz w:val="24"/>
          <w:szCs w:val="24"/>
        </w:rPr>
        <w:t>А. Поэтика комп</w:t>
      </w:r>
      <w:r w:rsidRPr="006C6B33">
        <w:rPr>
          <w:sz w:val="24"/>
          <w:szCs w:val="24"/>
        </w:rPr>
        <w:t>озиции. М.: Искусство, 1970.</w:t>
      </w:r>
      <w:r w:rsidR="00182B04" w:rsidRPr="006C6B33">
        <w:rPr>
          <w:sz w:val="24"/>
          <w:szCs w:val="24"/>
        </w:rPr>
        <w:t xml:space="preserve"> 225 с.</w:t>
      </w:r>
    </w:p>
    <w:p w14:paraId="00000010" w14:textId="1FE03CFA" w:rsidR="00163779" w:rsidRPr="006C6B33" w:rsidRDefault="006C6B33" w:rsidP="00C11D2D">
      <w:pPr>
        <w:pStyle w:val="a5"/>
        <w:numPr>
          <w:ilvl w:val="0"/>
          <w:numId w:val="2"/>
        </w:numPr>
        <w:ind w:left="357" w:firstLine="69"/>
        <w:jc w:val="both"/>
        <w:rPr>
          <w:sz w:val="24"/>
          <w:szCs w:val="24"/>
        </w:rPr>
      </w:pPr>
      <w:r w:rsidRPr="006C6B33">
        <w:rPr>
          <w:sz w:val="24"/>
          <w:szCs w:val="24"/>
        </w:rPr>
        <w:t>Кожевникова Н.</w:t>
      </w:r>
      <w:r w:rsidR="00182B04" w:rsidRPr="006C6B33">
        <w:rPr>
          <w:sz w:val="24"/>
          <w:szCs w:val="24"/>
        </w:rPr>
        <w:t xml:space="preserve">А. Типы повествования в </w:t>
      </w:r>
      <w:r w:rsidRPr="006C6B33">
        <w:rPr>
          <w:sz w:val="24"/>
          <w:szCs w:val="24"/>
        </w:rPr>
        <w:t xml:space="preserve">русской литературе XIX–XX вв. М.: Ин–т рус. яз. РАН, 1994. </w:t>
      </w:r>
      <w:r w:rsidR="00182B04" w:rsidRPr="006C6B33">
        <w:rPr>
          <w:sz w:val="24"/>
          <w:szCs w:val="24"/>
        </w:rPr>
        <w:t>335 с.</w:t>
      </w:r>
    </w:p>
    <w:p w14:paraId="00000011" w14:textId="26A4841E" w:rsidR="00163779" w:rsidRPr="006C6B33" w:rsidRDefault="006C6B33" w:rsidP="00C11D2D">
      <w:pPr>
        <w:pStyle w:val="a5"/>
        <w:numPr>
          <w:ilvl w:val="0"/>
          <w:numId w:val="2"/>
        </w:numPr>
        <w:ind w:left="357" w:firstLine="69"/>
        <w:jc w:val="both"/>
        <w:rPr>
          <w:sz w:val="24"/>
          <w:szCs w:val="24"/>
        </w:rPr>
      </w:pPr>
      <w:r w:rsidRPr="006C6B33">
        <w:rPr>
          <w:sz w:val="24"/>
          <w:szCs w:val="24"/>
        </w:rPr>
        <w:t>Громова Н.</w:t>
      </w:r>
      <w:r w:rsidR="00182B04" w:rsidRPr="006C6B33">
        <w:rPr>
          <w:sz w:val="24"/>
          <w:szCs w:val="24"/>
        </w:rPr>
        <w:t>А. Евгений Шварц: Судь</w:t>
      </w:r>
      <w:r w:rsidRPr="006C6B33">
        <w:rPr>
          <w:sz w:val="24"/>
          <w:szCs w:val="24"/>
        </w:rPr>
        <w:t>ба Сказочника в эпоху Дракона.</w:t>
      </w:r>
      <w:r w:rsidR="00182B04" w:rsidRPr="006C6B33">
        <w:rPr>
          <w:sz w:val="24"/>
          <w:szCs w:val="24"/>
        </w:rPr>
        <w:t xml:space="preserve"> СПб.: Изд</w:t>
      </w:r>
      <w:r w:rsidRPr="006C6B33">
        <w:rPr>
          <w:sz w:val="24"/>
          <w:szCs w:val="24"/>
        </w:rPr>
        <w:t>–</w:t>
      </w:r>
      <w:r w:rsidR="00182B04" w:rsidRPr="006C6B33">
        <w:rPr>
          <w:sz w:val="24"/>
          <w:szCs w:val="24"/>
        </w:rPr>
        <w:t>во Ивана Лимбаха, 2026.</w:t>
      </w:r>
    </w:p>
    <w:p w14:paraId="00000012" w14:textId="60986A35" w:rsidR="00163779" w:rsidRPr="006C6B33" w:rsidRDefault="006C6B33" w:rsidP="00C11D2D">
      <w:pPr>
        <w:pStyle w:val="a5"/>
        <w:numPr>
          <w:ilvl w:val="0"/>
          <w:numId w:val="2"/>
        </w:numPr>
        <w:ind w:left="357" w:firstLine="69"/>
        <w:jc w:val="both"/>
        <w:rPr>
          <w:sz w:val="24"/>
          <w:szCs w:val="24"/>
        </w:rPr>
      </w:pPr>
      <w:r w:rsidRPr="006C6B33">
        <w:rPr>
          <w:sz w:val="24"/>
          <w:szCs w:val="24"/>
        </w:rPr>
        <w:t>Дашевская О.</w:t>
      </w:r>
      <w:r w:rsidR="00182B04" w:rsidRPr="006C6B33">
        <w:rPr>
          <w:sz w:val="24"/>
          <w:szCs w:val="24"/>
        </w:rPr>
        <w:t>А. «Дракон» Е. Шварца и «Железная мистерия» Д. Анд</w:t>
      </w:r>
      <w:r w:rsidRPr="006C6B33">
        <w:rPr>
          <w:sz w:val="24"/>
          <w:szCs w:val="24"/>
        </w:rPr>
        <w:t>реева // Вестник ТГПУ. 2008.</w:t>
      </w:r>
      <w:r w:rsidR="00182B04" w:rsidRPr="006C6B33">
        <w:rPr>
          <w:sz w:val="24"/>
          <w:szCs w:val="24"/>
        </w:rPr>
        <w:t xml:space="preserve"> № 2.</w:t>
      </w:r>
    </w:p>
    <w:p w14:paraId="00000013" w14:textId="42B37522" w:rsidR="00163779" w:rsidRPr="006C6B33" w:rsidRDefault="006C6B33" w:rsidP="00C11D2D">
      <w:pPr>
        <w:pStyle w:val="a5"/>
        <w:numPr>
          <w:ilvl w:val="0"/>
          <w:numId w:val="2"/>
        </w:numPr>
        <w:ind w:left="357" w:firstLine="69"/>
        <w:jc w:val="both"/>
        <w:rPr>
          <w:sz w:val="24"/>
          <w:szCs w:val="24"/>
        </w:rPr>
      </w:pPr>
      <w:r w:rsidRPr="006C6B33">
        <w:rPr>
          <w:sz w:val="24"/>
          <w:szCs w:val="24"/>
        </w:rPr>
        <w:t>Куприянова Е.С., Коновалова А.</w:t>
      </w:r>
      <w:r w:rsidR="00182B04" w:rsidRPr="006C6B33">
        <w:rPr>
          <w:sz w:val="24"/>
          <w:szCs w:val="24"/>
        </w:rPr>
        <w:t>М. Архетип жертвы и драконоборческий сюжет в пьесе Е. Шварца «Дракон».</w:t>
      </w:r>
    </w:p>
    <w:p w14:paraId="00000014" w14:textId="07A7F448" w:rsidR="00163779" w:rsidRPr="006C6B33" w:rsidRDefault="006C6B33" w:rsidP="00C11D2D">
      <w:pPr>
        <w:pStyle w:val="a5"/>
        <w:numPr>
          <w:ilvl w:val="0"/>
          <w:numId w:val="2"/>
        </w:numPr>
        <w:ind w:left="357" w:firstLine="69"/>
        <w:jc w:val="both"/>
        <w:rPr>
          <w:sz w:val="24"/>
          <w:szCs w:val="24"/>
        </w:rPr>
      </w:pPr>
      <w:r w:rsidRPr="006C6B33">
        <w:rPr>
          <w:sz w:val="24"/>
          <w:szCs w:val="24"/>
        </w:rPr>
        <w:t xml:space="preserve">Кунин М.М. Евгений Шварц. </w:t>
      </w:r>
      <w:r w:rsidR="00182B04" w:rsidRPr="006C6B33">
        <w:rPr>
          <w:sz w:val="24"/>
          <w:szCs w:val="24"/>
        </w:rPr>
        <w:t>М.: Молодая г</w:t>
      </w:r>
      <w:r w:rsidRPr="006C6B33">
        <w:rPr>
          <w:sz w:val="24"/>
          <w:szCs w:val="24"/>
        </w:rPr>
        <w:t xml:space="preserve">вардия, 2025. </w:t>
      </w:r>
      <w:r w:rsidR="00182B04" w:rsidRPr="006C6B33">
        <w:rPr>
          <w:sz w:val="24"/>
          <w:szCs w:val="24"/>
        </w:rPr>
        <w:t>413 с.</w:t>
      </w:r>
    </w:p>
    <w:p w14:paraId="00000015" w14:textId="0F0D3E97" w:rsidR="00163779" w:rsidRPr="006C6B33" w:rsidRDefault="00C11D2D" w:rsidP="00C11D2D">
      <w:pPr>
        <w:pStyle w:val="a5"/>
        <w:numPr>
          <w:ilvl w:val="0"/>
          <w:numId w:val="2"/>
        </w:numPr>
        <w:ind w:left="357" w:firstLine="69"/>
        <w:jc w:val="both"/>
        <w:rPr>
          <w:sz w:val="24"/>
          <w:szCs w:val="24"/>
        </w:rPr>
      </w:pPr>
      <w:r>
        <w:rPr>
          <w:sz w:val="24"/>
          <w:szCs w:val="24"/>
        </w:rPr>
        <w:t>Русанова О.</w:t>
      </w:r>
      <w:r w:rsidR="00182B04" w:rsidRPr="006C6B33">
        <w:rPr>
          <w:sz w:val="24"/>
          <w:szCs w:val="24"/>
        </w:rPr>
        <w:t>Н. Мотивный комплекс как способ организации эпической драмы: автор</w:t>
      </w:r>
      <w:r w:rsidR="006C6B33" w:rsidRPr="006C6B33">
        <w:rPr>
          <w:sz w:val="24"/>
          <w:szCs w:val="24"/>
        </w:rPr>
        <w:t xml:space="preserve">еф. дис. … канд. филол. наук. Томск, 2006. </w:t>
      </w:r>
      <w:r w:rsidR="00182B04" w:rsidRPr="006C6B33">
        <w:rPr>
          <w:sz w:val="24"/>
          <w:szCs w:val="24"/>
        </w:rPr>
        <w:t>199 с.</w:t>
      </w:r>
    </w:p>
    <w:p w14:paraId="00000016" w14:textId="308C4B70" w:rsidR="00163779" w:rsidRPr="006C6B33" w:rsidRDefault="00C11D2D" w:rsidP="00C11D2D">
      <w:pPr>
        <w:pStyle w:val="a5"/>
        <w:numPr>
          <w:ilvl w:val="0"/>
          <w:numId w:val="2"/>
        </w:numPr>
        <w:ind w:left="357" w:firstLine="69"/>
        <w:jc w:val="both"/>
        <w:rPr>
          <w:sz w:val="24"/>
          <w:szCs w:val="24"/>
        </w:rPr>
      </w:pPr>
      <w:r>
        <w:rPr>
          <w:sz w:val="24"/>
          <w:szCs w:val="24"/>
        </w:rPr>
        <w:t>Сейбель Н.</w:t>
      </w:r>
      <w:r w:rsidR="00182B04" w:rsidRPr="006C6B33">
        <w:rPr>
          <w:sz w:val="24"/>
          <w:szCs w:val="24"/>
        </w:rPr>
        <w:t>Э. Сюжеты о рыцарях Круглого стола в драматических сказках ХХ века // Филологический</w:t>
      </w:r>
      <w:r w:rsidR="006C6B33" w:rsidRPr="006C6B33">
        <w:rPr>
          <w:sz w:val="24"/>
          <w:szCs w:val="24"/>
        </w:rPr>
        <w:t xml:space="preserve"> класс. 2015. № 4</w:t>
      </w:r>
      <w:r w:rsidR="00DE6E92">
        <w:rPr>
          <w:sz w:val="24"/>
          <w:szCs w:val="24"/>
          <w:lang w:val="ru-RU"/>
        </w:rPr>
        <w:t xml:space="preserve"> </w:t>
      </w:r>
      <w:r w:rsidR="006C6B33" w:rsidRPr="006C6B33">
        <w:rPr>
          <w:sz w:val="24"/>
          <w:szCs w:val="24"/>
        </w:rPr>
        <w:t xml:space="preserve">(42). </w:t>
      </w:r>
      <w:r w:rsidR="00182B04" w:rsidRPr="006C6B33">
        <w:rPr>
          <w:sz w:val="24"/>
          <w:szCs w:val="24"/>
        </w:rPr>
        <w:t>С. 83–86.</w:t>
      </w:r>
    </w:p>
    <w:p w14:paraId="00000017" w14:textId="26B80FEF" w:rsidR="00163779" w:rsidRPr="006C6B33" w:rsidRDefault="00182B04" w:rsidP="00C11D2D">
      <w:pPr>
        <w:pStyle w:val="a5"/>
        <w:numPr>
          <w:ilvl w:val="0"/>
          <w:numId w:val="2"/>
        </w:numPr>
        <w:ind w:left="357" w:firstLine="69"/>
        <w:jc w:val="both"/>
        <w:rPr>
          <w:sz w:val="24"/>
          <w:szCs w:val="24"/>
        </w:rPr>
      </w:pPr>
      <w:r w:rsidRPr="006C6B33">
        <w:rPr>
          <w:sz w:val="24"/>
          <w:szCs w:val="24"/>
        </w:rPr>
        <w:t>Харитонов М. «Дракон» Евгения Шварца: победа над</w:t>
      </w:r>
      <w:r w:rsidR="006C6B33" w:rsidRPr="006C6B33">
        <w:rPr>
          <w:sz w:val="24"/>
          <w:szCs w:val="24"/>
        </w:rPr>
        <w:t xml:space="preserve"> Солнцем // Полдень, XXI век. </w:t>
      </w:r>
      <w:r w:rsidRPr="006C6B33">
        <w:rPr>
          <w:sz w:val="24"/>
          <w:szCs w:val="24"/>
        </w:rPr>
        <w:t xml:space="preserve">2003. </w:t>
      </w:r>
    </w:p>
    <w:p w14:paraId="00000018" w14:textId="639DC079" w:rsidR="00163779" w:rsidRPr="006C6B33" w:rsidRDefault="006C6B33" w:rsidP="00C11D2D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6C6B33">
        <w:rPr>
          <w:sz w:val="24"/>
          <w:szCs w:val="24"/>
        </w:rPr>
        <w:t>Шварц</w:t>
      </w:r>
      <w:r w:rsidR="00182B04" w:rsidRPr="006C6B33">
        <w:rPr>
          <w:sz w:val="24"/>
          <w:szCs w:val="24"/>
        </w:rPr>
        <w:t xml:space="preserve"> Е.Л. Избранное / Е.Л.</w:t>
      </w:r>
      <w:r w:rsidRPr="006C6B33">
        <w:rPr>
          <w:sz w:val="24"/>
          <w:szCs w:val="24"/>
        </w:rPr>
        <w:t xml:space="preserve"> Шварц. СПб.: Кристалл, 1998. </w:t>
      </w:r>
      <w:r w:rsidR="00182B04" w:rsidRPr="006C6B33">
        <w:rPr>
          <w:sz w:val="24"/>
          <w:szCs w:val="24"/>
        </w:rPr>
        <w:t>864 с.</w:t>
      </w:r>
    </w:p>
    <w:sectPr w:rsidR="00163779" w:rsidRPr="006C6B33" w:rsidSect="006C6B33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7C42E272-253E-4FE3-8247-70B6D85DAB1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  <w:embedRegular r:id="rId2" w:fontKey="{36DB8EFE-F88C-4A7C-92AF-A41FF3B82B0F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AFECBB7A-1B9D-4E71-A399-6F3CE401908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F54AA"/>
    <w:multiLevelType w:val="hybridMultilevel"/>
    <w:tmpl w:val="6248D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C5D47"/>
    <w:multiLevelType w:val="hybridMultilevel"/>
    <w:tmpl w:val="5830B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836942">
    <w:abstractNumId w:val="1"/>
  </w:num>
  <w:num w:numId="2" w16cid:durableId="591668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embedTrueTypeFonts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779"/>
    <w:rsid w:val="0001787B"/>
    <w:rsid w:val="00163779"/>
    <w:rsid w:val="00182B04"/>
    <w:rsid w:val="006C6B33"/>
    <w:rsid w:val="006E440E"/>
    <w:rsid w:val="00BE66EE"/>
    <w:rsid w:val="00C11D2D"/>
    <w:rsid w:val="00DE6E92"/>
    <w:rsid w:val="00E2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9CEA5"/>
  <w15:docId w15:val="{22B87344-501B-4978-B854-946744CBA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6C6B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 /><Relationship Id="rId2" Type="http://schemas.openxmlformats.org/officeDocument/2006/relationships/font" Target="fonts/font2.odttf" /><Relationship Id="rId1" Type="http://schemas.openxmlformats.org/officeDocument/2006/relationships/font" Target="fonts/font1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zUKlzoF0H96CV8JmybBP044Xqw==">CgMxLjA4AHIhMW5RN0VGVzRXdGt4OFBFcThfc1ZnU0gzaVhCUUNUenVU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Рина Смирнова</cp:lastModifiedBy>
  <cp:revision>2</cp:revision>
  <dcterms:created xsi:type="dcterms:W3CDTF">2026-05-14T16:25:00Z</dcterms:created>
  <dcterms:modified xsi:type="dcterms:W3CDTF">2026-05-14T16:25:00Z</dcterms:modified>
</cp:coreProperties>
</file>