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F50D" w14:textId="0D79B2E5" w:rsidR="007B09E1" w:rsidRPr="007B09E1" w:rsidRDefault="007B09E1" w:rsidP="007B09E1">
      <w:pPr>
        <w:spacing w:line="240" w:lineRule="auto"/>
        <w:ind w:left="1361" w:right="1361"/>
        <w:jc w:val="center"/>
        <w:rPr>
          <w:rFonts w:ascii="Times New Roman" w:hAnsi="Times New Roman" w:cs="Times New Roman"/>
          <w:b/>
          <w:bCs/>
          <w:sz w:val="24"/>
          <w:szCs w:val="24"/>
        </w:rPr>
      </w:pPr>
      <w:r w:rsidRPr="007B09E1">
        <w:rPr>
          <w:rFonts w:ascii="Times New Roman" w:hAnsi="Times New Roman" w:cs="Times New Roman"/>
          <w:b/>
          <w:bCs/>
          <w:sz w:val="24"/>
          <w:szCs w:val="24"/>
        </w:rPr>
        <w:t xml:space="preserve">Влияние ESG-повестки на рыночную стоимость публичных компаний </w:t>
      </w:r>
      <w:r>
        <w:rPr>
          <w:rFonts w:ascii="Times New Roman" w:hAnsi="Times New Roman" w:cs="Times New Roman"/>
          <w:b/>
          <w:bCs/>
          <w:sz w:val="24"/>
          <w:szCs w:val="24"/>
        </w:rPr>
        <w:t>ТЭК</w:t>
      </w:r>
    </w:p>
    <w:p w14:paraId="589F3144" w14:textId="4E802812" w:rsidR="007B09E1" w:rsidRPr="007B09E1" w:rsidRDefault="007762C0" w:rsidP="007B09E1">
      <w:pPr>
        <w:spacing w:line="240" w:lineRule="auto"/>
        <w:ind w:left="1361" w:right="1361"/>
        <w:jc w:val="center"/>
        <w:rPr>
          <w:rFonts w:ascii="Times New Roman" w:hAnsi="Times New Roman" w:cs="Times New Roman"/>
          <w:b/>
          <w:bCs/>
          <w:i/>
          <w:iCs/>
          <w:sz w:val="24"/>
          <w:szCs w:val="24"/>
        </w:rPr>
      </w:pPr>
      <w:r w:rsidRPr="007B09E1">
        <w:rPr>
          <w:rFonts w:ascii="Times New Roman" w:hAnsi="Times New Roman" w:cs="Times New Roman"/>
          <w:b/>
          <w:bCs/>
          <w:i/>
          <w:iCs/>
          <w:sz w:val="24"/>
          <w:szCs w:val="24"/>
        </w:rPr>
        <w:t>Бурякова Екатерина Вадимовна</w:t>
      </w:r>
    </w:p>
    <w:p w14:paraId="094C1F7E" w14:textId="7E2A7469" w:rsidR="007B09E1" w:rsidRPr="007B09E1" w:rsidRDefault="007762C0" w:rsidP="007B09E1">
      <w:pPr>
        <w:spacing w:line="240" w:lineRule="auto"/>
        <w:ind w:left="1361" w:right="1361"/>
        <w:jc w:val="center"/>
        <w:rPr>
          <w:rFonts w:ascii="Times New Roman" w:hAnsi="Times New Roman" w:cs="Times New Roman"/>
          <w:i/>
          <w:iCs/>
          <w:sz w:val="24"/>
          <w:szCs w:val="24"/>
        </w:rPr>
      </w:pPr>
      <w:r w:rsidRPr="007B09E1">
        <w:rPr>
          <w:rFonts w:ascii="Times New Roman" w:hAnsi="Times New Roman" w:cs="Times New Roman"/>
          <w:i/>
          <w:iCs/>
          <w:sz w:val="24"/>
          <w:szCs w:val="24"/>
        </w:rPr>
        <w:t>Студент (магистр)</w:t>
      </w:r>
    </w:p>
    <w:p w14:paraId="280F8DDE" w14:textId="3DC0C8D2" w:rsidR="007B09E1" w:rsidRPr="007B09E1" w:rsidRDefault="007762C0" w:rsidP="007B09E1">
      <w:pPr>
        <w:spacing w:line="240" w:lineRule="auto"/>
        <w:ind w:left="1361" w:right="1361"/>
        <w:jc w:val="center"/>
        <w:rPr>
          <w:rFonts w:ascii="Times New Roman" w:hAnsi="Times New Roman" w:cs="Times New Roman"/>
          <w:i/>
          <w:iCs/>
          <w:sz w:val="24"/>
          <w:szCs w:val="24"/>
        </w:rPr>
      </w:pPr>
      <w:r w:rsidRPr="007B09E1">
        <w:rPr>
          <w:rFonts w:ascii="Times New Roman" w:hAnsi="Times New Roman" w:cs="Times New Roman"/>
          <w:i/>
          <w:iCs/>
          <w:sz w:val="24"/>
          <w:szCs w:val="24"/>
        </w:rPr>
        <w:t>Московский государственный университет имени М.В.Ломоносова,</w:t>
      </w:r>
    </w:p>
    <w:p w14:paraId="663CCBCA" w14:textId="27E4F0B0" w:rsidR="007B09E1" w:rsidRPr="007B09E1" w:rsidRDefault="007B09E1" w:rsidP="007B09E1">
      <w:pPr>
        <w:spacing w:line="240" w:lineRule="auto"/>
        <w:ind w:left="1361" w:right="1361"/>
        <w:jc w:val="center"/>
        <w:rPr>
          <w:rFonts w:ascii="Times New Roman" w:hAnsi="Times New Roman" w:cs="Times New Roman"/>
          <w:i/>
          <w:iCs/>
          <w:sz w:val="24"/>
          <w:szCs w:val="24"/>
        </w:rPr>
      </w:pPr>
      <w:r w:rsidRPr="007B09E1">
        <w:rPr>
          <w:rFonts w:ascii="Times New Roman" w:hAnsi="Times New Roman" w:cs="Times New Roman"/>
          <w:i/>
          <w:iCs/>
          <w:sz w:val="24"/>
          <w:szCs w:val="24"/>
        </w:rPr>
        <w:t>э</w:t>
      </w:r>
      <w:r w:rsidR="007762C0" w:rsidRPr="007B09E1">
        <w:rPr>
          <w:rFonts w:ascii="Times New Roman" w:hAnsi="Times New Roman" w:cs="Times New Roman"/>
          <w:i/>
          <w:iCs/>
          <w:sz w:val="24"/>
          <w:szCs w:val="24"/>
        </w:rPr>
        <w:t>кономический факультет, Москва, Россия</w:t>
      </w:r>
    </w:p>
    <w:p w14:paraId="72600B2E" w14:textId="14F265F5" w:rsidR="007E5FCE" w:rsidRPr="007B09E1" w:rsidRDefault="007762C0" w:rsidP="007B09E1">
      <w:pPr>
        <w:spacing w:line="240" w:lineRule="auto"/>
        <w:ind w:left="1361" w:right="1361"/>
        <w:jc w:val="center"/>
        <w:rPr>
          <w:rFonts w:ascii="Times New Roman" w:hAnsi="Times New Roman" w:cs="Times New Roman"/>
          <w:i/>
          <w:iCs/>
          <w:sz w:val="24"/>
          <w:szCs w:val="24"/>
        </w:rPr>
      </w:pPr>
      <w:r w:rsidRPr="007B09E1">
        <w:rPr>
          <w:rFonts w:ascii="Times New Roman" w:hAnsi="Times New Roman" w:cs="Times New Roman"/>
          <w:i/>
          <w:iCs/>
          <w:sz w:val="24"/>
          <w:szCs w:val="24"/>
        </w:rPr>
        <w:t>E-mail: buriakova2002@mail.ru</w:t>
      </w:r>
    </w:p>
    <w:p w14:paraId="43FB79A0" w14:textId="394236E8" w:rsidR="007E5FCE" w:rsidRDefault="007762C0" w:rsidP="007B09E1">
      <w:pPr>
        <w:spacing w:line="240" w:lineRule="auto"/>
        <w:ind w:left="1361" w:right="1361" w:firstLine="397"/>
        <w:jc w:val="both"/>
        <w:rPr>
          <w:rFonts w:ascii="Times New Roman" w:hAnsi="Times New Roman" w:cs="Times New Roman"/>
          <w:sz w:val="24"/>
          <w:szCs w:val="24"/>
        </w:rPr>
      </w:pPr>
      <w:r w:rsidRPr="007762C0">
        <w:rPr>
          <w:rFonts w:ascii="Times New Roman" w:hAnsi="Times New Roman" w:cs="Times New Roman"/>
          <w:sz w:val="24"/>
          <w:szCs w:val="24"/>
        </w:rPr>
        <w:t xml:space="preserve">В последние годы все большее внимание уделяется теме устойчивого развития в бизнесе. Приверженность компаний принципам устойчивого развития даёт им ряд преимуществ, таких как повышение эффективности используемых ресурсов, привлечение инвестиций, укрепление репутации и др. В процессе стремления бизнеса к достижению целей устойчивого развития появилась и стала широко использоваться концепция ESG (Environmental. Social, Governance), представляющая собой корпоративный стандарт, свод правил, принципов и подходов к ведению бизнеса, которые способствуют его устойчивому развитию. </w:t>
      </w:r>
    </w:p>
    <w:p w14:paraId="3270A6A6" w14:textId="77777777" w:rsidR="00013C5E" w:rsidRDefault="007762C0" w:rsidP="007B09E1">
      <w:pPr>
        <w:spacing w:line="240" w:lineRule="auto"/>
        <w:ind w:left="1361" w:right="1361" w:firstLine="397"/>
        <w:jc w:val="both"/>
        <w:rPr>
          <w:rFonts w:ascii="Times New Roman" w:hAnsi="Times New Roman" w:cs="Times New Roman"/>
          <w:sz w:val="24"/>
          <w:szCs w:val="24"/>
        </w:rPr>
      </w:pPr>
      <w:r w:rsidRPr="007762C0">
        <w:rPr>
          <w:rFonts w:ascii="Times New Roman" w:hAnsi="Times New Roman" w:cs="Times New Roman"/>
          <w:sz w:val="24"/>
          <w:szCs w:val="24"/>
        </w:rPr>
        <w:t>В</w:t>
      </w:r>
      <w:r w:rsidR="007E5FCE">
        <w:rPr>
          <w:rFonts w:ascii="Times New Roman" w:hAnsi="Times New Roman" w:cs="Times New Roman"/>
          <w:sz w:val="24"/>
          <w:szCs w:val="24"/>
        </w:rPr>
        <w:t xml:space="preserve"> </w:t>
      </w:r>
      <w:r w:rsidRPr="007762C0">
        <w:rPr>
          <w:rFonts w:ascii="Times New Roman" w:hAnsi="Times New Roman" w:cs="Times New Roman"/>
          <w:sz w:val="24"/>
          <w:szCs w:val="24"/>
        </w:rPr>
        <w:t xml:space="preserve">последнее десятилетие отмечается бурный рост так называемого ESG-инвестирования, которое, в отличие от классического подхода к инвестированию, учитывает не только финансовые показатели компаний, но и их вклад в развитие общества, включая воздействие на окружающую среду, социальную ответственность и качество корпоративного управления. В условиях быстрорастущего рынка ESG-инвестирования значительно возрастает роль ESG-рейтинговых агентств и формируемых ими ESG-рейтингов, предназначенных для помощи инвесторам в оценке эффективности вложения средств в те или иные компании. В рамках данного исследования я хочу понять, насколько эффективным для инвесторов и компаний является учет ESG-рейтингов в оценке рыночной стоимости компаний. </w:t>
      </w:r>
    </w:p>
    <w:p w14:paraId="2F88CEF1" w14:textId="77777777" w:rsidR="00013C5E" w:rsidRDefault="007762C0" w:rsidP="007B09E1">
      <w:pPr>
        <w:spacing w:line="240" w:lineRule="auto"/>
        <w:ind w:left="1361" w:right="1361" w:firstLine="397"/>
        <w:jc w:val="both"/>
        <w:rPr>
          <w:rFonts w:ascii="Times New Roman" w:hAnsi="Times New Roman" w:cs="Times New Roman"/>
          <w:sz w:val="24"/>
          <w:szCs w:val="24"/>
        </w:rPr>
      </w:pPr>
      <w:r w:rsidRPr="007762C0">
        <w:rPr>
          <w:rFonts w:ascii="Times New Roman" w:hAnsi="Times New Roman" w:cs="Times New Roman"/>
          <w:sz w:val="24"/>
          <w:szCs w:val="24"/>
        </w:rPr>
        <w:t xml:space="preserve">В настоящее время среди исследователей нет консенсуса насчет того, насколько эффективными рыночными индикаторами являются ESG-рейтинги. Основные экономические теории, объясняющие направленность воздействия ESG-рейтингов на рыночную стоимость, к которым относятся, например, агентская теория стоимости акций и теория за интересованных сторон (стейкхолдеров), дают разнонаправленные оценки [4]. С точки зрения агентской теории инвестиции в ESG-практики являются расточительным использованием ресурсов, наносящим ущерб интересам акционеров. Высокие ESG-рейтинги могут восприниматься инвесторами как негативный сигнал, потенциально снижающий стоимость акций. Теория стейкхолдеров предполагает положительное влияние ESG-эффективности. Улучшение корпоративного управления может снизить стоимость капитала (WACC) и риски обрушения цен акций. Имеющиеся исследований подтверждает эту неоднозначность. Например, в работах по России [1] и США [2] наблюдается отрицательная зависимость между ESG-рейтингами и стоимостью компаний, в то время как в статье про развивающиеся рынки [3], наоборот, обнаруживается положительная связь. Наиболее контрастно ситуация проявляется для рынка акций Китая, где два исследования дают противоположные результаты [4], [5]. </w:t>
      </w:r>
    </w:p>
    <w:p w14:paraId="51A6CE5E" w14:textId="77777777" w:rsidR="00013C5E" w:rsidRDefault="007762C0" w:rsidP="007B09E1">
      <w:pPr>
        <w:spacing w:line="240" w:lineRule="auto"/>
        <w:ind w:left="1361" w:right="1361" w:firstLine="397"/>
        <w:jc w:val="both"/>
        <w:rPr>
          <w:rFonts w:ascii="Times New Roman" w:hAnsi="Times New Roman" w:cs="Times New Roman"/>
          <w:sz w:val="24"/>
          <w:szCs w:val="24"/>
        </w:rPr>
      </w:pPr>
      <w:r w:rsidRPr="007762C0">
        <w:rPr>
          <w:rFonts w:ascii="Times New Roman" w:hAnsi="Times New Roman" w:cs="Times New Roman"/>
          <w:sz w:val="24"/>
          <w:szCs w:val="24"/>
        </w:rPr>
        <w:t>Мое</w:t>
      </w:r>
      <w:r w:rsidR="007E5FCE">
        <w:rPr>
          <w:rFonts w:ascii="Times New Roman" w:hAnsi="Times New Roman" w:cs="Times New Roman"/>
          <w:sz w:val="24"/>
          <w:szCs w:val="24"/>
        </w:rPr>
        <w:t xml:space="preserve"> </w:t>
      </w:r>
      <w:r w:rsidRPr="007762C0">
        <w:rPr>
          <w:rFonts w:ascii="Times New Roman" w:hAnsi="Times New Roman" w:cs="Times New Roman"/>
          <w:sz w:val="24"/>
          <w:szCs w:val="24"/>
        </w:rPr>
        <w:t xml:space="preserve">исследование, в отличие от имеющихся, фокусируется на топливно-энергетическом комплексе, так как компании данной отрасли традиционно ассоциируются с высоким угле родным следом и значительными экологическими рисками, а что касается нашей страны, то ТЭК кроме всего прочего играет решающую роль в формировании бюджета России. 1 Конференция «Ломоносов-2026» Следовательно, ESG-стратегии таких компаний должны находиться под особым вниманием как со стороны регуляторов, так и со стороны инвесторов. </w:t>
      </w:r>
    </w:p>
    <w:p w14:paraId="45EF7CEA" w14:textId="0F97E7DD" w:rsidR="00013C5E" w:rsidRDefault="007762C0" w:rsidP="007B09E1">
      <w:pPr>
        <w:spacing w:line="240" w:lineRule="auto"/>
        <w:ind w:left="1361" w:right="1361" w:firstLine="397"/>
        <w:jc w:val="both"/>
        <w:rPr>
          <w:rFonts w:ascii="Times New Roman" w:hAnsi="Times New Roman" w:cs="Times New Roman"/>
          <w:sz w:val="24"/>
          <w:szCs w:val="24"/>
        </w:rPr>
      </w:pPr>
      <w:r w:rsidRPr="007762C0">
        <w:rPr>
          <w:rFonts w:ascii="Times New Roman" w:hAnsi="Times New Roman" w:cs="Times New Roman"/>
          <w:sz w:val="24"/>
          <w:szCs w:val="24"/>
        </w:rPr>
        <w:lastRenderedPageBreak/>
        <w:t xml:space="preserve">Мое исследование основано на данных по 140 ведущим мировым компаниям ТЭК за 2020–2025 года. Данные включают значения рейтинга MSCI ESG Rating от одного из ведущих мировых рейтинговых агентств MSCI (Morgan Stanley Capital International), ежедневные биржевые котировки акций, а также финансовые показатели компаний [6]. Основные методы исследования– метод регрессионного анализа (панельные регрессии), корреляционный и графический анализ. Рыночная стоимость компаний оценивалась через традиционно используемые в подобных случаях показатели, такие как доходность вложения в акции и коэффициент Q-Тобина. </w:t>
      </w:r>
    </w:p>
    <w:p w14:paraId="6A3AED48" w14:textId="6EB33705" w:rsidR="00013C5E" w:rsidRDefault="007762C0" w:rsidP="007B09E1">
      <w:pPr>
        <w:spacing w:line="240" w:lineRule="auto"/>
        <w:ind w:left="1361" w:right="1361" w:firstLine="397"/>
        <w:jc w:val="both"/>
        <w:rPr>
          <w:rFonts w:ascii="Times New Roman" w:hAnsi="Times New Roman" w:cs="Times New Roman"/>
          <w:sz w:val="24"/>
          <w:szCs w:val="24"/>
        </w:rPr>
      </w:pPr>
      <w:r w:rsidRPr="007762C0">
        <w:rPr>
          <w:rFonts w:ascii="Times New Roman" w:hAnsi="Times New Roman" w:cs="Times New Roman"/>
          <w:sz w:val="24"/>
          <w:szCs w:val="24"/>
        </w:rPr>
        <w:t xml:space="preserve">Исследование показало, </w:t>
      </w:r>
      <w:r w:rsidR="00CB7DC1" w:rsidRPr="00CB7DC1">
        <w:rPr>
          <w:rFonts w:ascii="Times New Roman" w:hAnsi="Times New Roman" w:cs="Times New Roman"/>
          <w:sz w:val="24"/>
          <w:szCs w:val="24"/>
        </w:rPr>
        <w:t xml:space="preserve">что ESG-рейтинг MSCI не оказывает значимого влияния на капитализацию (q-Тобина) публичных компаний ТЭК. В то же время обнаружено значимое отрицательное влияние ESG-рейтинга на доходность публичных компаний ТЭК (отрицательная зависимость на 1% уровне значимости). Это можно интерпретировать следующим образом. С точки зрения инвесторов важным является меньший риск инвестирования в компании с высоким рейтингом, а чем меньше риск, тем меньше доходность. </w:t>
      </w:r>
      <w:r w:rsidR="00A60183">
        <w:rPr>
          <w:rFonts w:ascii="Times New Roman" w:hAnsi="Times New Roman" w:cs="Times New Roman"/>
          <w:sz w:val="24"/>
          <w:szCs w:val="24"/>
        </w:rPr>
        <w:t xml:space="preserve">Высокий рейтинг </w:t>
      </w:r>
      <w:r w:rsidR="00A60183">
        <w:rPr>
          <w:rFonts w:ascii="Times New Roman" w:hAnsi="Times New Roman" w:cs="Times New Roman"/>
          <w:sz w:val="24"/>
          <w:szCs w:val="24"/>
          <w:lang w:val="en-US"/>
        </w:rPr>
        <w:t>ESG</w:t>
      </w:r>
      <w:r w:rsidR="00A60183">
        <w:rPr>
          <w:rFonts w:ascii="Times New Roman" w:hAnsi="Times New Roman" w:cs="Times New Roman"/>
          <w:sz w:val="24"/>
          <w:szCs w:val="24"/>
        </w:rPr>
        <w:t xml:space="preserve"> может</w:t>
      </w:r>
      <w:r w:rsidR="00CB7DC1" w:rsidRPr="00CB7DC1">
        <w:rPr>
          <w:rFonts w:ascii="Times New Roman" w:hAnsi="Times New Roman" w:cs="Times New Roman"/>
          <w:sz w:val="24"/>
          <w:szCs w:val="24"/>
        </w:rPr>
        <w:t xml:space="preserve"> привлечь инвесторов, несклонных к риску.</w:t>
      </w:r>
    </w:p>
    <w:p w14:paraId="36EC929D" w14:textId="77777777" w:rsidR="00013C5E" w:rsidRDefault="007762C0" w:rsidP="007B09E1">
      <w:pPr>
        <w:spacing w:line="240" w:lineRule="auto"/>
        <w:ind w:left="1361" w:right="1361" w:firstLine="397"/>
        <w:jc w:val="both"/>
        <w:rPr>
          <w:rFonts w:ascii="Times New Roman" w:hAnsi="Times New Roman" w:cs="Times New Roman"/>
          <w:sz w:val="24"/>
          <w:szCs w:val="24"/>
        </w:rPr>
      </w:pPr>
      <w:r w:rsidRPr="007762C0">
        <w:rPr>
          <w:rFonts w:ascii="Times New Roman" w:hAnsi="Times New Roman" w:cs="Times New Roman"/>
          <w:sz w:val="24"/>
          <w:szCs w:val="24"/>
        </w:rPr>
        <w:t xml:space="preserve">Моя работа может быть полезна при формировании рекомендаций для российских компаний, инвесторов и регуляторов. В настоящее время ESG-инвестирование в России по сравнению со многими странами еще не имеет системный характер, а учет ESG-факторов является фрагментарным. По мере развития ESG-инвестирования в РФ результаты исследования, отражающие мировые тенденции в данной сфере, будут привлекать все больший интерес со стороны инвесторов и компаний. </w:t>
      </w:r>
    </w:p>
    <w:p w14:paraId="0FDB0B55" w14:textId="614E671C" w:rsidR="00013C5E" w:rsidRPr="00013C5E" w:rsidRDefault="007762C0" w:rsidP="007B09E1">
      <w:pPr>
        <w:spacing w:line="240" w:lineRule="auto"/>
        <w:ind w:left="1361" w:right="1361" w:firstLine="397"/>
        <w:jc w:val="center"/>
        <w:rPr>
          <w:rFonts w:ascii="Times New Roman" w:hAnsi="Times New Roman" w:cs="Times New Roman"/>
          <w:b/>
          <w:bCs/>
          <w:sz w:val="24"/>
          <w:szCs w:val="24"/>
        </w:rPr>
      </w:pPr>
      <w:r w:rsidRPr="00013C5E">
        <w:rPr>
          <w:rFonts w:ascii="Times New Roman" w:hAnsi="Times New Roman" w:cs="Times New Roman"/>
          <w:b/>
          <w:bCs/>
          <w:sz w:val="24"/>
          <w:szCs w:val="24"/>
        </w:rPr>
        <w:t>Источники и литература</w:t>
      </w:r>
    </w:p>
    <w:p w14:paraId="1E43AA5A" w14:textId="24FEE23B" w:rsidR="00013C5E" w:rsidRPr="00CB7DC1" w:rsidRDefault="007762C0" w:rsidP="00AE1AE9">
      <w:pPr>
        <w:spacing w:line="240" w:lineRule="auto"/>
        <w:ind w:left="1361" w:right="1361" w:firstLine="397"/>
        <w:rPr>
          <w:rFonts w:ascii="Times New Roman" w:hAnsi="Times New Roman" w:cs="Times New Roman"/>
          <w:sz w:val="24"/>
          <w:szCs w:val="24"/>
          <w:lang w:val="en-US"/>
        </w:rPr>
      </w:pPr>
      <w:r w:rsidRPr="007762C0">
        <w:rPr>
          <w:rFonts w:ascii="Times New Roman" w:hAnsi="Times New Roman" w:cs="Times New Roman"/>
          <w:sz w:val="24"/>
          <w:szCs w:val="24"/>
        </w:rPr>
        <w:t>1) Захматов, Д., Валитов, Г. Влияние ESG-факторов на рыночную капитализацию российских компаний</w:t>
      </w:r>
      <w:r w:rsidR="00F60DAC">
        <w:rPr>
          <w:rFonts w:ascii="Times New Roman" w:hAnsi="Times New Roman" w:cs="Times New Roman"/>
          <w:sz w:val="24"/>
          <w:szCs w:val="24"/>
        </w:rPr>
        <w:t xml:space="preserve"> </w:t>
      </w:r>
      <w:r w:rsidR="00F60DAC" w:rsidRPr="00F60DAC">
        <w:rPr>
          <w:rFonts w:ascii="Times New Roman" w:hAnsi="Times New Roman" w:cs="Times New Roman"/>
          <w:sz w:val="24"/>
          <w:szCs w:val="24"/>
        </w:rPr>
        <w:t xml:space="preserve">// </w:t>
      </w:r>
      <w:r w:rsidRPr="007762C0">
        <w:rPr>
          <w:rFonts w:ascii="Times New Roman" w:hAnsi="Times New Roman" w:cs="Times New Roman"/>
          <w:sz w:val="24"/>
          <w:szCs w:val="24"/>
        </w:rPr>
        <w:t>Сибирская финансовая школа</w:t>
      </w:r>
      <w:r w:rsidR="00AE1AE9" w:rsidRPr="00AE1AE9">
        <w:rPr>
          <w:rFonts w:ascii="Times New Roman" w:hAnsi="Times New Roman" w:cs="Times New Roman"/>
          <w:sz w:val="24"/>
          <w:szCs w:val="24"/>
        </w:rPr>
        <w:t xml:space="preserve">. </w:t>
      </w:r>
      <w:r w:rsidR="00AE1AE9" w:rsidRPr="00CB7DC1">
        <w:rPr>
          <w:rFonts w:ascii="Times New Roman" w:hAnsi="Times New Roman" w:cs="Times New Roman"/>
          <w:sz w:val="24"/>
          <w:szCs w:val="24"/>
          <w:lang w:val="en-US"/>
        </w:rPr>
        <w:t>2022</w:t>
      </w:r>
      <w:r w:rsidR="00AE1AE9">
        <w:rPr>
          <w:rFonts w:ascii="Times New Roman" w:hAnsi="Times New Roman" w:cs="Times New Roman"/>
          <w:sz w:val="24"/>
          <w:szCs w:val="24"/>
          <w:lang w:val="en-US"/>
        </w:rPr>
        <w:t>,</w:t>
      </w:r>
      <w:r w:rsidRPr="00CB7DC1">
        <w:rPr>
          <w:rFonts w:ascii="Times New Roman" w:hAnsi="Times New Roman" w:cs="Times New Roman"/>
          <w:sz w:val="24"/>
          <w:szCs w:val="24"/>
          <w:lang w:val="en-US"/>
        </w:rPr>
        <w:t xml:space="preserve"> №3 (147), </w:t>
      </w:r>
      <w:r w:rsidRPr="007762C0">
        <w:rPr>
          <w:rFonts w:ascii="Times New Roman" w:hAnsi="Times New Roman" w:cs="Times New Roman"/>
          <w:sz w:val="24"/>
          <w:szCs w:val="24"/>
        </w:rPr>
        <w:t>сс</w:t>
      </w:r>
      <w:r w:rsidRPr="00CB7DC1">
        <w:rPr>
          <w:rFonts w:ascii="Times New Roman" w:hAnsi="Times New Roman" w:cs="Times New Roman"/>
          <w:sz w:val="24"/>
          <w:szCs w:val="24"/>
          <w:lang w:val="en-US"/>
        </w:rPr>
        <w:t>.183-192</w:t>
      </w:r>
      <w:r w:rsidR="00AE1AE9" w:rsidRPr="00CB7DC1">
        <w:rPr>
          <w:rFonts w:ascii="Times New Roman" w:hAnsi="Times New Roman" w:cs="Times New Roman"/>
          <w:sz w:val="24"/>
          <w:szCs w:val="24"/>
          <w:lang w:val="en-US"/>
        </w:rPr>
        <w:t xml:space="preserve">. </w:t>
      </w:r>
      <w:r w:rsidRPr="00CB7DC1">
        <w:rPr>
          <w:rFonts w:ascii="Times New Roman" w:hAnsi="Times New Roman" w:cs="Times New Roman"/>
          <w:sz w:val="24"/>
          <w:szCs w:val="24"/>
          <w:lang w:val="en-US"/>
        </w:rPr>
        <w:t xml:space="preserve">https://www.elibrary.ru/item.asp?id=49937170 </w:t>
      </w:r>
    </w:p>
    <w:p w14:paraId="67EE4A66" w14:textId="77DD195F" w:rsidR="00013C5E" w:rsidRPr="00013C5E" w:rsidRDefault="007762C0" w:rsidP="00AE1AE9">
      <w:pPr>
        <w:spacing w:line="240" w:lineRule="auto"/>
        <w:ind w:left="1361" w:right="1361" w:firstLine="397"/>
        <w:rPr>
          <w:rFonts w:ascii="Times New Roman" w:hAnsi="Times New Roman" w:cs="Times New Roman"/>
          <w:sz w:val="24"/>
          <w:szCs w:val="24"/>
          <w:lang w:val="en-US"/>
        </w:rPr>
      </w:pPr>
      <w:r w:rsidRPr="00013C5E">
        <w:rPr>
          <w:rFonts w:ascii="Times New Roman" w:hAnsi="Times New Roman" w:cs="Times New Roman"/>
          <w:sz w:val="24"/>
          <w:szCs w:val="24"/>
          <w:lang w:val="en-US"/>
        </w:rPr>
        <w:t xml:space="preserve">2) Cheng, S. and Huang, S. </w:t>
      </w:r>
      <w:r w:rsidRPr="007762C0">
        <w:rPr>
          <w:rFonts w:ascii="Times New Roman" w:hAnsi="Times New Roman" w:cs="Times New Roman"/>
          <w:sz w:val="24"/>
          <w:szCs w:val="24"/>
          <w:lang w:val="en-US"/>
        </w:rPr>
        <w:t>ESG combined score effects on stock performance of S&amp;P 500-listed firms</w:t>
      </w:r>
      <w:r w:rsidR="00F60DAC">
        <w:rPr>
          <w:rFonts w:ascii="Times New Roman" w:hAnsi="Times New Roman" w:cs="Times New Roman"/>
          <w:sz w:val="24"/>
          <w:szCs w:val="24"/>
          <w:lang w:val="en-US"/>
        </w:rPr>
        <w:t xml:space="preserve"> // </w:t>
      </w:r>
      <w:r w:rsidRPr="007762C0">
        <w:rPr>
          <w:rFonts w:ascii="Times New Roman" w:hAnsi="Times New Roman" w:cs="Times New Roman"/>
          <w:sz w:val="24"/>
          <w:szCs w:val="24"/>
          <w:lang w:val="en-US"/>
        </w:rPr>
        <w:t>Finance Research Letters</w:t>
      </w:r>
      <w:r w:rsidR="00C05C26">
        <w:rPr>
          <w:rFonts w:ascii="Times New Roman" w:hAnsi="Times New Roman" w:cs="Times New Roman"/>
          <w:sz w:val="24"/>
          <w:szCs w:val="24"/>
          <w:lang w:val="en-US"/>
        </w:rPr>
        <w:t xml:space="preserve">. </w:t>
      </w:r>
      <w:r w:rsidR="00C05C26" w:rsidRPr="00013C5E">
        <w:rPr>
          <w:rFonts w:ascii="Times New Roman" w:hAnsi="Times New Roman" w:cs="Times New Roman"/>
          <w:sz w:val="24"/>
          <w:szCs w:val="24"/>
          <w:lang w:val="en-US"/>
        </w:rPr>
        <w:t>2024</w:t>
      </w:r>
      <w:r w:rsidR="00C05C26">
        <w:rPr>
          <w:rFonts w:ascii="Times New Roman" w:hAnsi="Times New Roman" w:cs="Times New Roman"/>
          <w:sz w:val="24"/>
          <w:szCs w:val="24"/>
          <w:lang w:val="en-US"/>
        </w:rPr>
        <w:t xml:space="preserve">, </w:t>
      </w:r>
      <w:r w:rsidRPr="007762C0">
        <w:rPr>
          <w:rFonts w:ascii="Times New Roman" w:hAnsi="Times New Roman" w:cs="Times New Roman"/>
          <w:sz w:val="24"/>
          <w:szCs w:val="24"/>
          <w:lang w:val="en-US"/>
        </w:rPr>
        <w:t>vol. 66</w:t>
      </w:r>
      <w:r w:rsidR="00F60DAC">
        <w:rPr>
          <w:rFonts w:ascii="Times New Roman" w:hAnsi="Times New Roman" w:cs="Times New Roman"/>
          <w:sz w:val="24"/>
          <w:szCs w:val="24"/>
          <w:lang w:val="en-US"/>
        </w:rPr>
        <w:t>.</w:t>
      </w:r>
      <w:r w:rsidRPr="007762C0">
        <w:rPr>
          <w:rFonts w:ascii="Times New Roman" w:hAnsi="Times New Roman" w:cs="Times New Roman"/>
          <w:sz w:val="24"/>
          <w:szCs w:val="24"/>
          <w:lang w:val="en-US"/>
        </w:rPr>
        <w:t xml:space="preserve"> https://www.sciencedirect.com/science/article/pii/S1544612324007165 </w:t>
      </w:r>
    </w:p>
    <w:p w14:paraId="2468BD06" w14:textId="5FB561C3" w:rsidR="00013C5E" w:rsidRPr="00013C5E" w:rsidRDefault="007762C0" w:rsidP="00AE1AE9">
      <w:pPr>
        <w:spacing w:line="240" w:lineRule="auto"/>
        <w:ind w:left="1361" w:right="1361" w:firstLine="397"/>
        <w:rPr>
          <w:rFonts w:ascii="Times New Roman" w:hAnsi="Times New Roman" w:cs="Times New Roman"/>
          <w:sz w:val="24"/>
          <w:szCs w:val="24"/>
          <w:lang w:val="en-US"/>
        </w:rPr>
      </w:pPr>
      <w:r w:rsidRPr="007762C0">
        <w:rPr>
          <w:rFonts w:ascii="Times New Roman" w:hAnsi="Times New Roman" w:cs="Times New Roman"/>
          <w:sz w:val="24"/>
          <w:szCs w:val="24"/>
          <w:lang w:val="en-US"/>
        </w:rPr>
        <w:t>3) Rahat, B. and Nguyen, P. The impact of ESG profile on Firm’s valuation in emerging markets</w:t>
      </w:r>
      <w:r w:rsidR="00F60DAC">
        <w:rPr>
          <w:rFonts w:ascii="Times New Roman" w:hAnsi="Times New Roman" w:cs="Times New Roman"/>
          <w:sz w:val="24"/>
          <w:szCs w:val="24"/>
          <w:lang w:val="en-US"/>
        </w:rPr>
        <w:t xml:space="preserve"> // </w:t>
      </w:r>
      <w:r w:rsidRPr="007762C0">
        <w:rPr>
          <w:rFonts w:ascii="Times New Roman" w:hAnsi="Times New Roman" w:cs="Times New Roman"/>
          <w:sz w:val="24"/>
          <w:szCs w:val="24"/>
          <w:lang w:val="en-US"/>
        </w:rPr>
        <w:t>International Review of Financial Analysis</w:t>
      </w:r>
      <w:r w:rsidR="00AE1AE9" w:rsidRPr="00AE1AE9">
        <w:rPr>
          <w:rFonts w:ascii="Times New Roman" w:hAnsi="Times New Roman" w:cs="Times New Roman"/>
          <w:sz w:val="24"/>
          <w:szCs w:val="24"/>
          <w:lang w:val="en-US"/>
        </w:rPr>
        <w:t xml:space="preserve">. </w:t>
      </w:r>
      <w:r w:rsidR="00AE1AE9" w:rsidRPr="007762C0">
        <w:rPr>
          <w:rFonts w:ascii="Times New Roman" w:hAnsi="Times New Roman" w:cs="Times New Roman"/>
          <w:sz w:val="24"/>
          <w:szCs w:val="24"/>
          <w:lang w:val="en-US"/>
        </w:rPr>
        <w:t>2024</w:t>
      </w:r>
      <w:r w:rsidR="00AE1AE9">
        <w:rPr>
          <w:rFonts w:ascii="Times New Roman" w:hAnsi="Times New Roman" w:cs="Times New Roman"/>
          <w:sz w:val="24"/>
          <w:szCs w:val="24"/>
          <w:lang w:val="en-US"/>
        </w:rPr>
        <w:t xml:space="preserve">, </w:t>
      </w:r>
      <w:r w:rsidRPr="007762C0">
        <w:rPr>
          <w:rFonts w:ascii="Times New Roman" w:hAnsi="Times New Roman" w:cs="Times New Roman"/>
          <w:sz w:val="24"/>
          <w:szCs w:val="24"/>
          <w:lang w:val="en-US"/>
        </w:rPr>
        <w:t xml:space="preserve">vol. 95 (part A). https://www.sciencedirect.com/science/article/pii/S105752192400293X </w:t>
      </w:r>
    </w:p>
    <w:p w14:paraId="63E4D26C" w14:textId="494F0929" w:rsidR="00013C5E" w:rsidRPr="00013C5E" w:rsidRDefault="007762C0" w:rsidP="00AE1AE9">
      <w:pPr>
        <w:spacing w:line="240" w:lineRule="auto"/>
        <w:ind w:left="1361" w:right="1361" w:firstLine="397"/>
        <w:rPr>
          <w:rFonts w:ascii="Times New Roman" w:hAnsi="Times New Roman" w:cs="Times New Roman"/>
          <w:sz w:val="24"/>
          <w:szCs w:val="24"/>
          <w:lang w:val="en-US"/>
        </w:rPr>
      </w:pPr>
      <w:r w:rsidRPr="007762C0">
        <w:rPr>
          <w:rFonts w:ascii="Times New Roman" w:hAnsi="Times New Roman" w:cs="Times New Roman"/>
          <w:sz w:val="24"/>
          <w:szCs w:val="24"/>
          <w:lang w:val="en-US"/>
        </w:rPr>
        <w:t>4) Wu, Y., Zhou, R. and Zhang, C. Size and ESG premiums: Evidence from Chinese A-share market</w:t>
      </w:r>
      <w:r w:rsidR="00F60DAC">
        <w:rPr>
          <w:rFonts w:ascii="Times New Roman" w:hAnsi="Times New Roman" w:cs="Times New Roman"/>
          <w:sz w:val="24"/>
          <w:szCs w:val="24"/>
          <w:lang w:val="en-US"/>
        </w:rPr>
        <w:t xml:space="preserve"> // </w:t>
      </w:r>
      <w:r w:rsidRPr="007762C0">
        <w:rPr>
          <w:rFonts w:ascii="Times New Roman" w:hAnsi="Times New Roman" w:cs="Times New Roman"/>
          <w:sz w:val="24"/>
          <w:szCs w:val="24"/>
          <w:lang w:val="en-US"/>
        </w:rPr>
        <w:t>The North American Journal of Economics and Finance</w:t>
      </w:r>
      <w:r w:rsidR="00AE1AE9">
        <w:rPr>
          <w:rFonts w:ascii="Times New Roman" w:hAnsi="Times New Roman" w:cs="Times New Roman"/>
          <w:sz w:val="24"/>
          <w:szCs w:val="24"/>
          <w:lang w:val="en-US"/>
        </w:rPr>
        <w:t xml:space="preserve">. </w:t>
      </w:r>
      <w:r w:rsidR="00AE1AE9" w:rsidRPr="007762C0">
        <w:rPr>
          <w:rFonts w:ascii="Times New Roman" w:hAnsi="Times New Roman" w:cs="Times New Roman"/>
          <w:sz w:val="24"/>
          <w:szCs w:val="24"/>
          <w:lang w:val="en-US"/>
        </w:rPr>
        <w:t>2024</w:t>
      </w:r>
      <w:r w:rsidR="00AE1AE9">
        <w:rPr>
          <w:rFonts w:ascii="Times New Roman" w:hAnsi="Times New Roman" w:cs="Times New Roman"/>
          <w:sz w:val="24"/>
          <w:szCs w:val="24"/>
          <w:lang w:val="en-US"/>
        </w:rPr>
        <w:t>,</w:t>
      </w:r>
      <w:r w:rsidRPr="007762C0">
        <w:rPr>
          <w:rFonts w:ascii="Times New Roman" w:hAnsi="Times New Roman" w:cs="Times New Roman"/>
          <w:sz w:val="24"/>
          <w:szCs w:val="24"/>
          <w:lang w:val="en-US"/>
        </w:rPr>
        <w:t xml:space="preserve"> vol. 74. https://www.sciencedirect.com/science/article/pii/S1062940824001712 </w:t>
      </w:r>
    </w:p>
    <w:p w14:paraId="50BE84E6" w14:textId="262C05D8" w:rsidR="00013C5E" w:rsidRPr="00AE1AE9" w:rsidRDefault="007762C0" w:rsidP="00AE1AE9">
      <w:pPr>
        <w:spacing w:line="240" w:lineRule="auto"/>
        <w:ind w:left="1361" w:right="1361" w:firstLine="397"/>
        <w:rPr>
          <w:rFonts w:ascii="Times New Roman" w:hAnsi="Times New Roman" w:cs="Times New Roman"/>
          <w:sz w:val="24"/>
          <w:szCs w:val="24"/>
        </w:rPr>
      </w:pPr>
      <w:r w:rsidRPr="007762C0">
        <w:rPr>
          <w:rFonts w:ascii="Times New Roman" w:hAnsi="Times New Roman" w:cs="Times New Roman"/>
          <w:sz w:val="24"/>
          <w:szCs w:val="24"/>
          <w:lang w:val="en-US"/>
        </w:rPr>
        <w:t>5) Zhou, G., Liu, L. and Luo, S. Sustainable development, ESG performance and company market value: Mediating effect of financial performance</w:t>
      </w:r>
      <w:r w:rsidR="00F60DAC">
        <w:rPr>
          <w:rFonts w:ascii="Times New Roman" w:hAnsi="Times New Roman" w:cs="Times New Roman"/>
          <w:sz w:val="24"/>
          <w:szCs w:val="24"/>
          <w:lang w:val="en-US"/>
        </w:rPr>
        <w:t xml:space="preserve"> // </w:t>
      </w:r>
      <w:r w:rsidRPr="007762C0">
        <w:rPr>
          <w:rFonts w:ascii="Times New Roman" w:hAnsi="Times New Roman" w:cs="Times New Roman"/>
          <w:sz w:val="24"/>
          <w:szCs w:val="24"/>
          <w:lang w:val="en-US"/>
        </w:rPr>
        <w:t>Business Strategy and the Environment</w:t>
      </w:r>
      <w:r w:rsidR="00AE1AE9">
        <w:rPr>
          <w:rFonts w:ascii="Times New Roman" w:hAnsi="Times New Roman" w:cs="Times New Roman"/>
          <w:sz w:val="24"/>
          <w:szCs w:val="24"/>
          <w:lang w:val="en-US"/>
        </w:rPr>
        <w:t xml:space="preserve">. </w:t>
      </w:r>
      <w:r w:rsidR="00AE1AE9" w:rsidRPr="00AE1AE9">
        <w:rPr>
          <w:rFonts w:ascii="Times New Roman" w:hAnsi="Times New Roman" w:cs="Times New Roman"/>
          <w:sz w:val="24"/>
          <w:szCs w:val="24"/>
        </w:rPr>
        <w:t>2022,</w:t>
      </w:r>
      <w:r w:rsidR="00013C5E" w:rsidRPr="00AE1AE9">
        <w:rPr>
          <w:rFonts w:ascii="Times New Roman" w:hAnsi="Times New Roman" w:cs="Times New Roman"/>
          <w:sz w:val="24"/>
          <w:szCs w:val="24"/>
        </w:rPr>
        <w:t xml:space="preserve"> </w:t>
      </w:r>
      <w:r w:rsidRPr="007762C0">
        <w:rPr>
          <w:rFonts w:ascii="Times New Roman" w:hAnsi="Times New Roman" w:cs="Times New Roman"/>
          <w:sz w:val="24"/>
          <w:szCs w:val="24"/>
          <w:lang w:val="en-US"/>
        </w:rPr>
        <w:t>vol</w:t>
      </w:r>
      <w:r w:rsidRPr="00AE1AE9">
        <w:rPr>
          <w:rFonts w:ascii="Times New Roman" w:hAnsi="Times New Roman" w:cs="Times New Roman"/>
          <w:sz w:val="24"/>
          <w:szCs w:val="24"/>
        </w:rPr>
        <w:t>. 31(7)</w:t>
      </w:r>
      <w:r w:rsidR="00AE1AE9" w:rsidRPr="00CB7DC1">
        <w:rPr>
          <w:rFonts w:ascii="Times New Roman" w:hAnsi="Times New Roman" w:cs="Times New Roman"/>
          <w:sz w:val="24"/>
          <w:szCs w:val="24"/>
        </w:rPr>
        <w:t xml:space="preserve">. </w:t>
      </w:r>
      <w:r w:rsidRPr="007762C0">
        <w:rPr>
          <w:rFonts w:ascii="Times New Roman" w:hAnsi="Times New Roman" w:cs="Times New Roman"/>
          <w:sz w:val="24"/>
          <w:szCs w:val="24"/>
          <w:lang w:val="en-US"/>
        </w:rPr>
        <w:t>p</w:t>
      </w:r>
      <w:r w:rsidR="00AE1AE9" w:rsidRPr="00AE1AE9">
        <w:rPr>
          <w:rFonts w:ascii="Times New Roman" w:hAnsi="Times New Roman" w:cs="Times New Roman"/>
          <w:sz w:val="24"/>
          <w:szCs w:val="24"/>
        </w:rPr>
        <w:t>.</w:t>
      </w:r>
      <w:r w:rsidRPr="00AE1AE9">
        <w:rPr>
          <w:rFonts w:ascii="Times New Roman" w:hAnsi="Times New Roman" w:cs="Times New Roman"/>
          <w:sz w:val="24"/>
          <w:szCs w:val="24"/>
        </w:rPr>
        <w:t xml:space="preserve"> </w:t>
      </w:r>
      <w:r w:rsidR="00AE1AE9" w:rsidRPr="00AE1AE9">
        <w:rPr>
          <w:rFonts w:ascii="Times New Roman" w:hAnsi="Times New Roman" w:cs="Times New Roman"/>
          <w:sz w:val="24"/>
          <w:szCs w:val="24"/>
        </w:rPr>
        <w:t>3371–3387</w:t>
      </w:r>
      <w:r w:rsidRPr="00AE1AE9">
        <w:rPr>
          <w:rFonts w:ascii="Times New Roman" w:hAnsi="Times New Roman" w:cs="Times New Roman"/>
          <w:sz w:val="24"/>
          <w:szCs w:val="24"/>
        </w:rPr>
        <w:t xml:space="preserve">. </w:t>
      </w:r>
      <w:r w:rsidRPr="007762C0">
        <w:rPr>
          <w:rFonts w:ascii="Times New Roman" w:hAnsi="Times New Roman" w:cs="Times New Roman"/>
          <w:sz w:val="24"/>
          <w:szCs w:val="24"/>
          <w:lang w:val="en-US"/>
        </w:rPr>
        <w:t>https</w:t>
      </w:r>
      <w:r w:rsidRPr="00AE1AE9">
        <w:rPr>
          <w:rFonts w:ascii="Times New Roman" w:hAnsi="Times New Roman" w:cs="Times New Roman"/>
          <w:sz w:val="24"/>
          <w:szCs w:val="24"/>
        </w:rPr>
        <w:t>://</w:t>
      </w:r>
      <w:r w:rsidRPr="007762C0">
        <w:rPr>
          <w:rFonts w:ascii="Times New Roman" w:hAnsi="Times New Roman" w:cs="Times New Roman"/>
          <w:sz w:val="24"/>
          <w:szCs w:val="24"/>
          <w:lang w:val="en-US"/>
        </w:rPr>
        <w:t>www</w:t>
      </w:r>
      <w:r w:rsidRPr="00AE1AE9">
        <w:rPr>
          <w:rFonts w:ascii="Times New Roman" w:hAnsi="Times New Roman" w:cs="Times New Roman"/>
          <w:sz w:val="24"/>
          <w:szCs w:val="24"/>
        </w:rPr>
        <w:t>.</w:t>
      </w:r>
      <w:r w:rsidRPr="007762C0">
        <w:rPr>
          <w:rFonts w:ascii="Times New Roman" w:hAnsi="Times New Roman" w:cs="Times New Roman"/>
          <w:sz w:val="24"/>
          <w:szCs w:val="24"/>
          <w:lang w:val="en-US"/>
        </w:rPr>
        <w:t>researchgate</w:t>
      </w:r>
      <w:r w:rsidRPr="00AE1AE9">
        <w:rPr>
          <w:rFonts w:ascii="Times New Roman" w:hAnsi="Times New Roman" w:cs="Times New Roman"/>
          <w:sz w:val="24"/>
          <w:szCs w:val="24"/>
        </w:rPr>
        <w:t>.</w:t>
      </w:r>
      <w:r w:rsidRPr="007762C0">
        <w:rPr>
          <w:rFonts w:ascii="Times New Roman" w:hAnsi="Times New Roman" w:cs="Times New Roman"/>
          <w:sz w:val="24"/>
          <w:szCs w:val="24"/>
          <w:lang w:val="en-US"/>
        </w:rPr>
        <w:t>net</w:t>
      </w:r>
      <w:r w:rsidRPr="00AE1AE9">
        <w:rPr>
          <w:rFonts w:ascii="Times New Roman" w:hAnsi="Times New Roman" w:cs="Times New Roman"/>
          <w:sz w:val="24"/>
          <w:szCs w:val="24"/>
        </w:rPr>
        <w:t>/</w:t>
      </w:r>
      <w:r w:rsidRPr="007762C0">
        <w:rPr>
          <w:rFonts w:ascii="Times New Roman" w:hAnsi="Times New Roman" w:cs="Times New Roman"/>
          <w:sz w:val="24"/>
          <w:szCs w:val="24"/>
          <w:lang w:val="en-US"/>
        </w:rPr>
        <w:t>publication</w:t>
      </w:r>
      <w:r w:rsidRPr="00AE1AE9">
        <w:rPr>
          <w:rFonts w:ascii="Times New Roman" w:hAnsi="Times New Roman" w:cs="Times New Roman"/>
          <w:sz w:val="24"/>
          <w:szCs w:val="24"/>
        </w:rPr>
        <w:t xml:space="preserve">/359924601 </w:t>
      </w:r>
    </w:p>
    <w:p w14:paraId="648F2989" w14:textId="37E48420" w:rsidR="008E2E86" w:rsidRPr="00013C5E" w:rsidRDefault="007762C0" w:rsidP="00AE1AE9">
      <w:pPr>
        <w:spacing w:line="240" w:lineRule="auto"/>
        <w:ind w:left="1361" w:right="1361" w:firstLine="397"/>
        <w:rPr>
          <w:rFonts w:ascii="Times New Roman" w:hAnsi="Times New Roman" w:cs="Times New Roman"/>
          <w:sz w:val="24"/>
          <w:szCs w:val="24"/>
        </w:rPr>
      </w:pPr>
      <w:r w:rsidRPr="00013C5E">
        <w:rPr>
          <w:rFonts w:ascii="Times New Roman" w:hAnsi="Times New Roman" w:cs="Times New Roman"/>
          <w:sz w:val="24"/>
          <w:szCs w:val="24"/>
        </w:rPr>
        <w:t xml:space="preserve">6) </w:t>
      </w:r>
      <w:r w:rsidRPr="007762C0">
        <w:rPr>
          <w:rFonts w:ascii="Times New Roman" w:hAnsi="Times New Roman" w:cs="Times New Roman"/>
          <w:sz w:val="24"/>
          <w:szCs w:val="24"/>
          <w:lang w:val="en-US"/>
        </w:rPr>
        <w:t>https</w:t>
      </w:r>
      <w:r w:rsidRPr="00013C5E">
        <w:rPr>
          <w:rFonts w:ascii="Times New Roman" w:hAnsi="Times New Roman" w:cs="Times New Roman"/>
          <w:sz w:val="24"/>
          <w:szCs w:val="24"/>
        </w:rPr>
        <w:t>://</w:t>
      </w:r>
      <w:r w:rsidRPr="007762C0">
        <w:rPr>
          <w:rFonts w:ascii="Times New Roman" w:hAnsi="Times New Roman" w:cs="Times New Roman"/>
          <w:sz w:val="24"/>
          <w:szCs w:val="24"/>
          <w:lang w:val="en-US"/>
        </w:rPr>
        <w:t>cbonds</w:t>
      </w:r>
      <w:r w:rsidRPr="00013C5E">
        <w:rPr>
          <w:rFonts w:ascii="Times New Roman" w:hAnsi="Times New Roman" w:cs="Times New Roman"/>
          <w:sz w:val="24"/>
          <w:szCs w:val="24"/>
        </w:rPr>
        <w:t>.</w:t>
      </w:r>
      <w:r w:rsidRPr="007762C0">
        <w:rPr>
          <w:rFonts w:ascii="Times New Roman" w:hAnsi="Times New Roman" w:cs="Times New Roman"/>
          <w:sz w:val="24"/>
          <w:szCs w:val="24"/>
          <w:lang w:val="en-US"/>
        </w:rPr>
        <w:t>ru</w:t>
      </w:r>
      <w:r w:rsidRPr="00013C5E">
        <w:rPr>
          <w:rFonts w:ascii="Times New Roman" w:hAnsi="Times New Roman" w:cs="Times New Roman"/>
          <w:sz w:val="24"/>
          <w:szCs w:val="24"/>
        </w:rPr>
        <w:t>/</w:t>
      </w:r>
      <w:r w:rsidR="00013C5E" w:rsidRPr="00013C5E">
        <w:rPr>
          <w:rFonts w:ascii="Times New Roman" w:hAnsi="Times New Roman" w:cs="Times New Roman"/>
          <w:sz w:val="24"/>
          <w:szCs w:val="24"/>
        </w:rPr>
        <w:t xml:space="preserve"> (</w:t>
      </w:r>
      <w:r w:rsidR="00013C5E" w:rsidRPr="007762C0">
        <w:rPr>
          <w:rFonts w:ascii="Times New Roman" w:hAnsi="Times New Roman" w:cs="Times New Roman"/>
          <w:sz w:val="24"/>
          <w:szCs w:val="24"/>
        </w:rPr>
        <w:t>Ведущий</w:t>
      </w:r>
      <w:r w:rsidR="00013C5E" w:rsidRPr="00013C5E">
        <w:rPr>
          <w:rFonts w:ascii="Times New Roman" w:hAnsi="Times New Roman" w:cs="Times New Roman"/>
          <w:sz w:val="24"/>
          <w:szCs w:val="24"/>
        </w:rPr>
        <w:t xml:space="preserve"> </w:t>
      </w:r>
      <w:r w:rsidR="00013C5E" w:rsidRPr="007762C0">
        <w:rPr>
          <w:rFonts w:ascii="Times New Roman" w:hAnsi="Times New Roman" w:cs="Times New Roman"/>
          <w:sz w:val="24"/>
          <w:szCs w:val="24"/>
        </w:rPr>
        <w:t>информационный</w:t>
      </w:r>
      <w:r w:rsidR="00013C5E" w:rsidRPr="00013C5E">
        <w:rPr>
          <w:rFonts w:ascii="Times New Roman" w:hAnsi="Times New Roman" w:cs="Times New Roman"/>
          <w:sz w:val="24"/>
          <w:szCs w:val="24"/>
        </w:rPr>
        <w:t xml:space="preserve"> </w:t>
      </w:r>
      <w:r w:rsidR="00013C5E" w:rsidRPr="007762C0">
        <w:rPr>
          <w:rFonts w:ascii="Times New Roman" w:hAnsi="Times New Roman" w:cs="Times New Roman"/>
          <w:sz w:val="24"/>
          <w:szCs w:val="24"/>
        </w:rPr>
        <w:t>ресурс</w:t>
      </w:r>
      <w:r w:rsidR="00013C5E" w:rsidRPr="00013C5E">
        <w:rPr>
          <w:rFonts w:ascii="Times New Roman" w:hAnsi="Times New Roman" w:cs="Times New Roman"/>
          <w:sz w:val="24"/>
          <w:szCs w:val="24"/>
        </w:rPr>
        <w:t xml:space="preserve"> </w:t>
      </w:r>
      <w:r w:rsidR="00013C5E" w:rsidRPr="007762C0">
        <w:rPr>
          <w:rFonts w:ascii="Times New Roman" w:hAnsi="Times New Roman" w:cs="Times New Roman"/>
          <w:sz w:val="24"/>
          <w:szCs w:val="24"/>
        </w:rPr>
        <w:t>по</w:t>
      </w:r>
      <w:r w:rsidR="00013C5E" w:rsidRPr="00013C5E">
        <w:rPr>
          <w:rFonts w:ascii="Times New Roman" w:hAnsi="Times New Roman" w:cs="Times New Roman"/>
          <w:sz w:val="24"/>
          <w:szCs w:val="24"/>
        </w:rPr>
        <w:t xml:space="preserve"> </w:t>
      </w:r>
      <w:r w:rsidR="00013C5E" w:rsidRPr="007762C0">
        <w:rPr>
          <w:rFonts w:ascii="Times New Roman" w:hAnsi="Times New Roman" w:cs="Times New Roman"/>
          <w:sz w:val="24"/>
          <w:szCs w:val="24"/>
        </w:rPr>
        <w:t>финансовым</w:t>
      </w:r>
      <w:r w:rsidR="00AE1AE9" w:rsidRPr="00AE1AE9">
        <w:rPr>
          <w:rFonts w:ascii="Times New Roman" w:hAnsi="Times New Roman" w:cs="Times New Roman"/>
          <w:sz w:val="24"/>
          <w:szCs w:val="24"/>
        </w:rPr>
        <w:t xml:space="preserve"> </w:t>
      </w:r>
      <w:r w:rsidR="00013C5E" w:rsidRPr="007762C0">
        <w:rPr>
          <w:rFonts w:ascii="Times New Roman" w:hAnsi="Times New Roman" w:cs="Times New Roman"/>
          <w:sz w:val="24"/>
          <w:szCs w:val="24"/>
        </w:rPr>
        <w:t>инструментам</w:t>
      </w:r>
      <w:r w:rsidR="00013C5E" w:rsidRPr="00013C5E">
        <w:rPr>
          <w:rFonts w:ascii="Times New Roman" w:hAnsi="Times New Roman" w:cs="Times New Roman"/>
          <w:sz w:val="24"/>
          <w:szCs w:val="24"/>
        </w:rPr>
        <w:t xml:space="preserve"> </w:t>
      </w:r>
      <w:r w:rsidR="00013C5E" w:rsidRPr="007762C0">
        <w:rPr>
          <w:rFonts w:ascii="Times New Roman" w:hAnsi="Times New Roman" w:cs="Times New Roman"/>
          <w:sz w:val="24"/>
          <w:szCs w:val="24"/>
          <w:lang w:val="en-US"/>
        </w:rPr>
        <w:t>Cbonds</w:t>
      </w:r>
      <w:r w:rsidR="00013C5E" w:rsidRPr="00013C5E">
        <w:rPr>
          <w:rFonts w:ascii="Times New Roman" w:hAnsi="Times New Roman" w:cs="Times New Roman"/>
          <w:sz w:val="24"/>
          <w:szCs w:val="24"/>
        </w:rPr>
        <w:t>)</w:t>
      </w:r>
    </w:p>
    <w:sectPr w:rsidR="008E2E86" w:rsidRPr="00013C5E" w:rsidSect="006478B2">
      <w:pgSz w:w="11906" w:h="16838"/>
      <w:pgMar w:top="1135" w:right="0" w:bottom="1134"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3222" w14:textId="77777777" w:rsidR="00A655F1" w:rsidRDefault="00A655F1" w:rsidP="007762C0">
      <w:pPr>
        <w:spacing w:after="0" w:line="240" w:lineRule="auto"/>
      </w:pPr>
      <w:r>
        <w:separator/>
      </w:r>
    </w:p>
  </w:endnote>
  <w:endnote w:type="continuationSeparator" w:id="0">
    <w:p w14:paraId="7129E276" w14:textId="77777777" w:rsidR="00A655F1" w:rsidRDefault="00A655F1" w:rsidP="0077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8C20" w14:textId="77777777" w:rsidR="00A655F1" w:rsidRDefault="00A655F1" w:rsidP="007762C0">
      <w:pPr>
        <w:spacing w:after="0" w:line="240" w:lineRule="auto"/>
      </w:pPr>
      <w:r>
        <w:separator/>
      </w:r>
    </w:p>
  </w:footnote>
  <w:footnote w:type="continuationSeparator" w:id="0">
    <w:p w14:paraId="7C27F3CE" w14:textId="77777777" w:rsidR="00A655F1" w:rsidRDefault="00A655F1" w:rsidP="007762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0"/>
    <w:rsid w:val="00013C5E"/>
    <w:rsid w:val="0018324C"/>
    <w:rsid w:val="001B21C7"/>
    <w:rsid w:val="003631A2"/>
    <w:rsid w:val="006478B2"/>
    <w:rsid w:val="007762C0"/>
    <w:rsid w:val="007B09E1"/>
    <w:rsid w:val="007E5FCE"/>
    <w:rsid w:val="008E2E86"/>
    <w:rsid w:val="00A418E1"/>
    <w:rsid w:val="00A60183"/>
    <w:rsid w:val="00A655F1"/>
    <w:rsid w:val="00AE1AE9"/>
    <w:rsid w:val="00C05C26"/>
    <w:rsid w:val="00CB7DC1"/>
    <w:rsid w:val="00CC20F6"/>
    <w:rsid w:val="00CF2458"/>
    <w:rsid w:val="00E1538A"/>
    <w:rsid w:val="00F1716D"/>
    <w:rsid w:val="00F60DAC"/>
    <w:rsid w:val="00FE2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76FD"/>
  <w15:chartTrackingRefBased/>
  <w15:docId w15:val="{B387A69B-C70D-4EA8-9376-54E500AB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6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76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762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762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762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762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62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62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62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C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762C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762C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762C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762C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762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62C0"/>
    <w:rPr>
      <w:rFonts w:eastAsiaTheme="majorEastAsia" w:cstheme="majorBidi"/>
      <w:color w:val="595959" w:themeColor="text1" w:themeTint="A6"/>
    </w:rPr>
  </w:style>
  <w:style w:type="character" w:customStyle="1" w:styleId="80">
    <w:name w:val="Заголовок 8 Знак"/>
    <w:basedOn w:val="a0"/>
    <w:link w:val="8"/>
    <w:uiPriority w:val="9"/>
    <w:semiHidden/>
    <w:rsid w:val="007762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62C0"/>
    <w:rPr>
      <w:rFonts w:eastAsiaTheme="majorEastAsia" w:cstheme="majorBidi"/>
      <w:color w:val="272727" w:themeColor="text1" w:themeTint="D8"/>
    </w:rPr>
  </w:style>
  <w:style w:type="paragraph" w:styleId="a3">
    <w:name w:val="Title"/>
    <w:basedOn w:val="a"/>
    <w:next w:val="a"/>
    <w:link w:val="a4"/>
    <w:uiPriority w:val="10"/>
    <w:qFormat/>
    <w:rsid w:val="00776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6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2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62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62C0"/>
    <w:pPr>
      <w:spacing w:before="160"/>
      <w:jc w:val="center"/>
    </w:pPr>
    <w:rPr>
      <w:i/>
      <w:iCs/>
      <w:color w:val="404040" w:themeColor="text1" w:themeTint="BF"/>
    </w:rPr>
  </w:style>
  <w:style w:type="character" w:customStyle="1" w:styleId="22">
    <w:name w:val="Цитата 2 Знак"/>
    <w:basedOn w:val="a0"/>
    <w:link w:val="21"/>
    <w:uiPriority w:val="29"/>
    <w:rsid w:val="007762C0"/>
    <w:rPr>
      <w:i/>
      <w:iCs/>
      <w:color w:val="404040" w:themeColor="text1" w:themeTint="BF"/>
    </w:rPr>
  </w:style>
  <w:style w:type="paragraph" w:styleId="a7">
    <w:name w:val="List Paragraph"/>
    <w:basedOn w:val="a"/>
    <w:uiPriority w:val="34"/>
    <w:qFormat/>
    <w:rsid w:val="007762C0"/>
    <w:pPr>
      <w:ind w:left="720"/>
      <w:contextualSpacing/>
    </w:pPr>
  </w:style>
  <w:style w:type="character" w:styleId="a8">
    <w:name w:val="Intense Emphasis"/>
    <w:basedOn w:val="a0"/>
    <w:uiPriority w:val="21"/>
    <w:qFormat/>
    <w:rsid w:val="007762C0"/>
    <w:rPr>
      <w:i/>
      <w:iCs/>
      <w:color w:val="0F4761" w:themeColor="accent1" w:themeShade="BF"/>
    </w:rPr>
  </w:style>
  <w:style w:type="paragraph" w:styleId="a9">
    <w:name w:val="Intense Quote"/>
    <w:basedOn w:val="a"/>
    <w:next w:val="a"/>
    <w:link w:val="aa"/>
    <w:uiPriority w:val="30"/>
    <w:qFormat/>
    <w:rsid w:val="00776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762C0"/>
    <w:rPr>
      <w:i/>
      <w:iCs/>
      <w:color w:val="0F4761" w:themeColor="accent1" w:themeShade="BF"/>
    </w:rPr>
  </w:style>
  <w:style w:type="character" w:styleId="ab">
    <w:name w:val="Intense Reference"/>
    <w:basedOn w:val="a0"/>
    <w:uiPriority w:val="32"/>
    <w:qFormat/>
    <w:rsid w:val="007762C0"/>
    <w:rPr>
      <w:b/>
      <w:bCs/>
      <w:smallCaps/>
      <w:color w:val="0F4761" w:themeColor="accent1" w:themeShade="BF"/>
      <w:spacing w:val="5"/>
    </w:rPr>
  </w:style>
  <w:style w:type="paragraph" w:styleId="ac">
    <w:name w:val="header"/>
    <w:basedOn w:val="a"/>
    <w:link w:val="ad"/>
    <w:uiPriority w:val="99"/>
    <w:unhideWhenUsed/>
    <w:rsid w:val="007762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2C0"/>
  </w:style>
  <w:style w:type="paragraph" w:styleId="ae">
    <w:name w:val="footer"/>
    <w:basedOn w:val="a"/>
    <w:link w:val="af"/>
    <w:uiPriority w:val="99"/>
    <w:unhideWhenUsed/>
    <w:rsid w:val="007762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2C0"/>
  </w:style>
  <w:style w:type="character" w:styleId="af0">
    <w:name w:val="Hyperlink"/>
    <w:basedOn w:val="a0"/>
    <w:uiPriority w:val="99"/>
    <w:unhideWhenUsed/>
    <w:rsid w:val="00013C5E"/>
    <w:rPr>
      <w:color w:val="467886" w:themeColor="hyperlink"/>
      <w:u w:val="single"/>
    </w:rPr>
  </w:style>
  <w:style w:type="character" w:styleId="af1">
    <w:name w:val="Unresolved Mention"/>
    <w:basedOn w:val="a0"/>
    <w:uiPriority w:val="99"/>
    <w:semiHidden/>
    <w:unhideWhenUsed/>
    <w:rsid w:val="00013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Бурякова Екатерина Вадимовна</dc:creator>
  <cp:keywords/>
  <dc:description/>
  <cp:lastModifiedBy>Бурякова Екатерина Вадимовна</cp:lastModifiedBy>
  <cp:revision>5</cp:revision>
  <dcterms:created xsi:type="dcterms:W3CDTF">2026-03-04T22:58:00Z</dcterms:created>
  <dcterms:modified xsi:type="dcterms:W3CDTF">2026-03-07T22:52:00Z</dcterms:modified>
</cp:coreProperties>
</file>