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03AE8" w:rsidRDefault="00872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eading=h.1nr9j1h16sj1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 реализации ФЗ №33-ФЗ: перераспределение полномочий в муниципалитетах Севастополя</w:t>
      </w:r>
    </w:p>
    <w:p w14:paraId="00000002" w14:textId="77777777" w:rsidR="00903AE8" w:rsidRDefault="00872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Рудная Полина Александровна</w:t>
      </w:r>
    </w:p>
    <w:p w14:paraId="00000003" w14:textId="77777777" w:rsidR="00903AE8" w:rsidRDefault="00872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Студент</w:t>
      </w:r>
    </w:p>
    <w:p w14:paraId="00000004" w14:textId="77777777" w:rsidR="00903AE8" w:rsidRDefault="00872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Филиал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Московского государственного университета </w:t>
      </w:r>
    </w:p>
    <w:p w14:paraId="00000005" w14:textId="77777777" w:rsidR="00903AE8" w:rsidRDefault="00872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имени М.В. Ломоносова в г. Севастополе, </w:t>
      </w:r>
    </w:p>
    <w:p w14:paraId="00000006" w14:textId="77777777" w:rsidR="00903AE8" w:rsidRDefault="00872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 Севастополь, Россия</w:t>
      </w:r>
    </w:p>
    <w:p w14:paraId="00000007" w14:textId="77777777" w:rsidR="00903AE8" w:rsidRDefault="00872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polina.rudnaya08@gmail.com</w:t>
      </w:r>
    </w:p>
    <w:p w14:paraId="00000008" w14:textId="77777777" w:rsidR="00903AE8" w:rsidRDefault="00903A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0000009" w14:textId="77777777" w:rsidR="00903AE8" w:rsidRDefault="00872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Федерального закона № 33-ФЗ «Об общих принципах организации местного самоуправления в единой системе публичной власти» [1] ознаменовало начало качественно нового этапа трансформации института местного самоуправления в Российской Федерации. Особую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научную и практическую значимость его реализация приобретает на территории городов федерального значения, среди которых особое место занимает Севастополь. Как справедливо отмечает И. П. Ковалев, переходный период 2026 года обостряет вопросы правопреемствен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и поиска действенных моделей разграничения предметов ведения [3]. Специфика Севастополя заключается в функционировании двухуровневой модели организации местного самоуправления, включающей десять внутригородских муниципальных образований. С 2014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система характеризуется наличием ряда дисфункций, в частности, несбалансированностью местных бюджетов и дублированием отдельных функций с полномочиями исполнительных органов государственной власти региона. Актуальность исследования обусловлена необх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одимостью осмысления первых итогов переходного периода и выявления конфликтных зон при перераспределении полномочий между региональным центром и внутригородскими муниципальными образованиями.</w:t>
      </w:r>
    </w:p>
    <w:p w14:paraId="0000000A" w14:textId="77777777" w:rsidR="00903AE8" w:rsidRDefault="00872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данной работы заключается в выявлении и анализе конфликтных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зон в процессе перераспределения властных полномочий между Правительством Севастополя и органами местного самоуправления внутригородских муниципальных образований в ходе реализации норм ФЗ-33. Для достижения поставленной цели предполагается решить следующ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задачи: во-первых, определить перечень полномочий, по которым возникает дублирование либо конфликт компетенций (на примере сфер благоустройства, образования и ритуальных услуг); во-вторых, дать оценку уровню бюджетной обеспеченности передаваемых на муни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ципальный уровень полномочий; в-третьих, проанализировать кадровые риски, возникающие в процессе реорганизации муниципальных округов. Вопросы компетенции органов местного самоуправления являются предметом многолетних дискуссий. Как подчеркивает А. В. Колес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 ключевой проблемой остается разрыв между объемом функциональных обязанностей и реальными финансовыми возможностями по их выполнению [4].</w:t>
      </w:r>
    </w:p>
    <w:p w14:paraId="0000000B" w14:textId="77777777" w:rsidR="00903AE8" w:rsidRDefault="00872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значение работы заключается в выявлении конкретных пробелов в региональном правовом регулировании.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 целесообразным сохранение за внутригородскими муниципалитетами ключевых вопросов местного значения в сфере благоустройства при одновременном законодательном закреплении за ними стабильных нормативов отчислений от налоговых доходов.</w:t>
      </w:r>
    </w:p>
    <w:p w14:paraId="0000000C" w14:textId="77777777" w:rsidR="00903AE8" w:rsidRDefault="00872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реходных положений регионального законодательства, в частности Закона города Севастополя № 842-ЗС [2], и правоприменительной практики первых месяцев 2026 года свидетельствует о доминировании центростремительных тенденций. Реализация ФЗ-33 в Севастополе осу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ществляется преимущественно по пути централизации, то есть перераспределения значительного объема полномочий в пользу регионального уровня. Так, в соответствии с положениями Закона № 842-ЗС, на региональный уровень были перераспределены такие вопросы,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регулирование тарифов на услуги организаций коммунального комплекса, координация благоустройства территорий, прилегающих к объектам регионального значения, а также участие в организации деятельности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обращению с твёрдыми коммунальными отходами. Данный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 развития, как отмечается в научной литературе, вступает в определенное противоречие с общепризнанным принципом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субсидиарности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которому решения должны приниматься на максимально близком к гражданам уровне. Одной из главных проблем переходного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становится финансовое обеспечение полномочий, закрепленных за муниципалитетами, но не подкрепленных соответствующими доходными источниками. Кроме того, анализ кадровой ситуации подтверждает наличие рисков «кадрового голода» в преобразованных муниц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ипальных округах, вызванного, по мнению М.С.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Ж.А. Денисовой, низкой престижностью муниципальной службы и высокой текучестью кадров [5]. Анализ показал, что основными причинами текучести кадров являются не только низкая престижность, но и неопред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еленность функциональных обязанностей в переходный период.</w:t>
      </w:r>
    </w:p>
    <w:p w14:paraId="0000000D" w14:textId="77777777" w:rsidR="00903AE8" w:rsidRDefault="008724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переходный период реализации ФЗ-33 в Севастополе выявил дисбаланс между объёмом задач, возложенных на муниципалитеты, и их реальными ресурсами. Дальнейшее развитие ситуации зависит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способности региона выстроить гибкую модель межбюджетных отношений и скорректировать закон о перераспределении полномочий. Проведённый анализ позволяет сформулировать ряд предложений для корректировки региональной политики. Целесообразно сохранить за вну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тригородскими муниципалитетами ключевые вопросы благоустройства, законодательно закрепив за ними стабильные нормативы отчислений от налоговых доходов. Такой подход позволит сбалансировать интересы региона и муниципальных образований в рамках единой 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публичной власти.</w:t>
      </w:r>
    </w:p>
    <w:p w14:paraId="0000000E" w14:textId="77777777" w:rsidR="00903AE8" w:rsidRDefault="00872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Библиографический список:</w:t>
      </w:r>
    </w:p>
    <w:p w14:paraId="0000000F" w14:textId="77777777" w:rsidR="00903AE8" w:rsidRDefault="0087245F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Федерация. Законы. Об общих принципах организации местного самоуправления в единой системе публичной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власти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№ 33-ФЗ : принят Гос. Думой 5 марта 2025 г. : одобрен Советом Федерации 14 марта 2025 г.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URL: 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https://www.consultant.ru/document/cons_doc_LAW_501319/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(дата обращения: 10.03.2026).</w:t>
      </w:r>
    </w:p>
    <w:p w14:paraId="00000010" w14:textId="77777777" w:rsidR="00903AE8" w:rsidRDefault="0087245F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Севастополь. Законы. О внесении изменений в Закон города Севастополя от 30 декабря 2014 года № 102-ЗС «О местном самоуправлении в городе Севастополе» и Закон города Севастополя от 8 июня 2018 года № 419-ЗС «О гарантиях осуществления полномочий депутата…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Закон города Севастополя № 842-ЗС от 06 марта 2025 г. // Официальный интернет-портал правовой информации. – URL: 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http://publication.pravo.gov.ru/document/9200202503070001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(дата о</w:t>
      </w:r>
      <w:r>
        <w:rPr>
          <w:rFonts w:ascii="Times New Roman" w:eastAsia="Times New Roman" w:hAnsi="Times New Roman" w:cs="Times New Roman"/>
          <w:sz w:val="24"/>
          <w:szCs w:val="24"/>
        </w:rPr>
        <w:t>бращения: 10.03.2026).</w:t>
      </w:r>
    </w:p>
    <w:p w14:paraId="00000011" w14:textId="77777777" w:rsidR="00903AE8" w:rsidRDefault="0087245F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Ковалев, И. П. Реформа местного самоуправления 2025 года: последствия, сложности и пути разрешения / И. П. Ковалев // Закон и право. – 2026. – № 1. – URL: 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https://cyberleninka.ru/article/n/reforma-mestnogo-samoupravleniya-2025-goda-posledstviya-slozhnosti-i-puti-razresheniya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(дата обращения: 10.03.2026).</w:t>
      </w:r>
    </w:p>
    <w:p w14:paraId="00000012" w14:textId="77777777" w:rsidR="00903AE8" w:rsidRDefault="0087245F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Колесников, А. В. Проблемы компетенции орга</w:t>
      </w:r>
      <w:r>
        <w:rPr>
          <w:rFonts w:ascii="Times New Roman" w:eastAsia="Times New Roman" w:hAnsi="Times New Roman" w:cs="Times New Roman"/>
          <w:sz w:val="24"/>
          <w:szCs w:val="24"/>
        </w:rPr>
        <w:t>нов местного самоуправления: вчера, сегодня, завтра / А. В. Колесников // Правовая политика и правовая жизнь. – 2024. – № 4. – URL: 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https://cyberleninka.ru/article/n/problemy-kompetentsii-organov-mestnogo-samoupravleniya-vchera-segodnya-zavtra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(дата обращения: 10.03.2026).</w:t>
      </w:r>
    </w:p>
    <w:p w14:paraId="00000013" w14:textId="77777777" w:rsidR="00903AE8" w:rsidRDefault="0087245F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С. Негативные факторы и проблемы развития муниципальной службы / М.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Ж. А. Денисова </w:t>
      </w:r>
      <w:r>
        <w:rPr>
          <w:rFonts w:ascii="Times New Roman" w:eastAsia="Times New Roman" w:hAnsi="Times New Roman" w:cs="Times New Roman"/>
          <w:sz w:val="24"/>
          <w:szCs w:val="24"/>
        </w:rPr>
        <w:t>// Образование и право. – 2024. – № 12. – URL: 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https://cyberleninka.ru/article/n/negativnye-faktory-i-problemy-razvitiya-munitsipalnoy-sluzhb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(дата обращения: 10.03.2026).</w:t>
      </w:r>
    </w:p>
    <w:p w14:paraId="00000014" w14:textId="77777777" w:rsidR="00903AE8" w:rsidRDefault="00903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03AE8"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218"/>
    <w:multiLevelType w:val="multilevel"/>
    <w:tmpl w:val="BEA67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E8"/>
    <w:rsid w:val="0087245F"/>
    <w:rsid w:val="0090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8BCA837-816C-AD45-A671-E91607E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eforma-mestnogo-samoupravleniya-2025-goda-posledstviya-slozhnosti-i-puti-razresheniya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92002025030700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0131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negativnye-faktory-i-problemy-razvitiya-munitsipalnoy-sluzh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problemy-kompetentsii-organov-mestnogo-samoupravleniya-vchera-segodnya-zav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/OAVGn9b+UOB7qLNbOvzKcwjig==">CgMxLjAyDmguMW5yOWoxaDE2c2oxOAByITFVa2RiM1RlZnVkZVRrYW9fTHlZWjM4WDFiRGl4RFQyQQ==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6477</Characters>
  <Application>Microsoft Office Word</Application>
  <DocSecurity>0</DocSecurity>
  <Lines>308</Lines>
  <Paragraphs>190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олейник</cp:lastModifiedBy>
  <cp:revision>2</cp:revision>
  <dcterms:created xsi:type="dcterms:W3CDTF">2026-05-15T14:31:00Z</dcterms:created>
  <dcterms:modified xsi:type="dcterms:W3CDTF">2026-05-15T14:31:00Z</dcterms:modified>
</cp:coreProperties>
</file>