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59" w:rsidRPr="00A25BE9" w:rsidRDefault="005344D3" w:rsidP="00A25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Ранжирование факторов устойчивости советской экономики в годы ВОВ с помощью 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етода парных сравнений Саати</w:t>
      </w:r>
    </w:p>
    <w:p w:rsidR="003C2140" w:rsidRPr="00A25BE9" w:rsidRDefault="003C2140" w:rsidP="00A25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LE_LINK1"/>
      <w:bookmarkStart w:id="2" w:name="OLE_LINK2"/>
    </w:p>
    <w:bookmarkEnd w:id="1"/>
    <w:bookmarkEnd w:id="2"/>
    <w:p w:rsidR="003C2140" w:rsidRPr="00A25BE9" w:rsidRDefault="003C2140" w:rsidP="00A25B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A25BE9">
        <w:rPr>
          <w:rFonts w:ascii="Times New Roman" w:hAnsi="Times New Roman" w:cs="Times New Roman"/>
          <w:b/>
          <w:i/>
          <w:sz w:val="24"/>
        </w:rPr>
        <w:t>Политицкая Богдана Игоревна</w:t>
      </w:r>
    </w:p>
    <w:p w:rsidR="003C2140" w:rsidRPr="00A25BE9" w:rsidRDefault="00205F62" w:rsidP="00A25BE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Бакалавр направления «Экономика» Фи</w:t>
      </w:r>
      <w:r w:rsidR="003C2140" w:rsidRPr="00A25BE9">
        <w:rPr>
          <w:rFonts w:ascii="Times New Roman" w:hAnsi="Times New Roman" w:cs="Times New Roman"/>
          <w:i/>
          <w:sz w:val="24"/>
        </w:rPr>
        <w:t>ала МГУ имени М.В. Ломоносова в г. Севастополе</w:t>
      </w:r>
    </w:p>
    <w:p w:rsidR="003C2140" w:rsidRPr="00A25BE9" w:rsidRDefault="003C2140" w:rsidP="00A25B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3C2140" w:rsidRPr="00A25BE9" w:rsidRDefault="003C2140" w:rsidP="00A25B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A25BE9">
        <w:rPr>
          <w:rFonts w:ascii="Times New Roman" w:hAnsi="Times New Roman" w:cs="Times New Roman"/>
          <w:b/>
          <w:i/>
          <w:sz w:val="24"/>
        </w:rPr>
        <w:t>Научный руководитель: Алтухова Надежда Викторовна</w:t>
      </w:r>
    </w:p>
    <w:p w:rsidR="003C2140" w:rsidRPr="00A25BE9" w:rsidRDefault="003C2140" w:rsidP="00A25BE9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A25BE9">
        <w:rPr>
          <w:rFonts w:ascii="Times New Roman" w:hAnsi="Times New Roman" w:cs="Times New Roman"/>
          <w:i/>
          <w:sz w:val="24"/>
        </w:rPr>
        <w:t>к.э.н, доцент кафедры экономики Филиала МГУ имени М.В. Ломоносова в г. Севастополе</w:t>
      </w:r>
    </w:p>
    <w:p w:rsidR="00326EC4" w:rsidRDefault="003C2140" w:rsidP="007360D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A25BE9">
        <w:rPr>
          <w:rFonts w:ascii="Times New Roman" w:hAnsi="Times New Roman" w:cs="Times New Roman"/>
          <w:i/>
          <w:sz w:val="24"/>
        </w:rPr>
        <w:t>г. Севастополь</w:t>
      </w:r>
    </w:p>
    <w:p w:rsidR="007360D5" w:rsidRPr="007360D5" w:rsidRDefault="007360D5" w:rsidP="007360D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A87B55" w:rsidRDefault="00A87B55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В результате проведенных </w:t>
      </w:r>
      <w:r w:rsidR="00D17F66">
        <w:rPr>
          <w:rFonts w:ascii="Times New Roman" w:hAnsi="Times New Roman" w:cs="Times New Roman"/>
          <w:bCs/>
          <w:sz w:val="24"/>
        </w:rPr>
        <w:t xml:space="preserve">автором </w:t>
      </w:r>
      <w:r>
        <w:rPr>
          <w:rFonts w:ascii="Times New Roman" w:hAnsi="Times New Roman" w:cs="Times New Roman"/>
          <w:bCs/>
          <w:sz w:val="24"/>
        </w:rPr>
        <w:t xml:space="preserve">исследований была предложена концепция факторов, которые обеспечили устойчивость Советской экономики в годы Великой Отечественной войны </w:t>
      </w:r>
      <w:r w:rsidRPr="00A87B55">
        <w:rPr>
          <w:rFonts w:ascii="Times New Roman" w:hAnsi="Times New Roman" w:cs="Times New Roman"/>
          <w:bCs/>
          <w:sz w:val="24"/>
        </w:rPr>
        <w:t>[</w:t>
      </w:r>
      <w:r w:rsidR="007360D5">
        <w:rPr>
          <w:rFonts w:ascii="Times New Roman" w:hAnsi="Times New Roman" w:cs="Times New Roman"/>
          <w:bCs/>
          <w:sz w:val="24"/>
        </w:rPr>
        <w:t>1</w:t>
      </w:r>
      <w:r w:rsidRPr="00A87B55">
        <w:rPr>
          <w:rFonts w:ascii="Times New Roman" w:hAnsi="Times New Roman" w:cs="Times New Roman"/>
          <w:bCs/>
          <w:sz w:val="24"/>
        </w:rPr>
        <w:t>]</w:t>
      </w:r>
      <w:r>
        <w:rPr>
          <w:rFonts w:ascii="Times New Roman" w:hAnsi="Times New Roman" w:cs="Times New Roman"/>
          <w:bCs/>
          <w:sz w:val="24"/>
        </w:rPr>
        <w:t xml:space="preserve">, </w:t>
      </w:r>
      <w:r w:rsidRPr="00A87B55">
        <w:rPr>
          <w:rFonts w:ascii="Times New Roman" w:hAnsi="Times New Roman" w:cs="Times New Roman"/>
          <w:bCs/>
          <w:sz w:val="24"/>
        </w:rPr>
        <w:t>[</w:t>
      </w:r>
      <w:r w:rsidR="007360D5">
        <w:rPr>
          <w:rFonts w:ascii="Times New Roman" w:hAnsi="Times New Roman" w:cs="Times New Roman"/>
          <w:bCs/>
          <w:sz w:val="24"/>
        </w:rPr>
        <w:t>2</w:t>
      </w:r>
      <w:r w:rsidRPr="00A87B55">
        <w:rPr>
          <w:rFonts w:ascii="Times New Roman" w:hAnsi="Times New Roman" w:cs="Times New Roman"/>
          <w:bCs/>
          <w:sz w:val="24"/>
        </w:rPr>
        <w:t>]</w:t>
      </w:r>
      <w:r>
        <w:rPr>
          <w:rFonts w:ascii="Times New Roman" w:hAnsi="Times New Roman" w:cs="Times New Roman"/>
          <w:bCs/>
          <w:sz w:val="24"/>
        </w:rPr>
        <w:t xml:space="preserve">. Классификация этих факторов приведена на рисунке 1. </w:t>
      </w:r>
    </w:p>
    <w:p w:rsidR="00C11731" w:rsidRPr="00D16269" w:rsidRDefault="001840FF" w:rsidP="00C11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  <w:lang w:eastAsia="ru-RU"/>
        </w:rPr>
        <w:drawing>
          <wp:inline distT="0" distB="0" distL="0" distR="0">
            <wp:extent cx="6096000" cy="2514600"/>
            <wp:effectExtent l="0" t="0" r="1905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11731" w:rsidRDefault="00C11731" w:rsidP="00C1173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Рисунок 1. Классификация факторов эффективности Советской экономики в годы Великой Отечественной войны.</w:t>
      </w:r>
    </w:p>
    <w:p w:rsidR="00A87B55" w:rsidRDefault="00A87B55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Для того, чтобы определить вес каждого фактора (его важность), воспользуемся методом экспертных оценок. В составе экспертов: 3 экономиста, 2 историка, 2 политолога, 1 социолог и 1 философ. Т</w:t>
      </w:r>
      <w:r w:rsidR="00007F38">
        <w:rPr>
          <w:rFonts w:ascii="Times New Roman" w:hAnsi="Times New Roman" w:cs="Times New Roman"/>
          <w:bCs/>
          <w:sz w:val="24"/>
        </w:rPr>
        <w:t>акой междисциплинарный состав экспертов был выбран для получения более объемной оценки с точки зрения разных дисциплин. Ранжирование этих факторов каждым экспе</w:t>
      </w:r>
      <w:r w:rsidR="001840FF">
        <w:rPr>
          <w:rFonts w:ascii="Times New Roman" w:hAnsi="Times New Roman" w:cs="Times New Roman"/>
          <w:bCs/>
          <w:sz w:val="24"/>
        </w:rPr>
        <w:t>ртом было рассчитано с помощью М</w:t>
      </w:r>
      <w:r w:rsidR="00007F38">
        <w:rPr>
          <w:rFonts w:ascii="Times New Roman" w:hAnsi="Times New Roman" w:cs="Times New Roman"/>
          <w:bCs/>
          <w:sz w:val="24"/>
        </w:rPr>
        <w:t xml:space="preserve">етода парных сравнений Саати. Результаты опроса представлены в таблице 1. </w:t>
      </w:r>
    </w:p>
    <w:p w:rsidR="00007F38" w:rsidRPr="008A5A60" w:rsidRDefault="008A5A60" w:rsidP="007360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5A60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7360D5">
        <w:rPr>
          <w:rFonts w:ascii="Times New Roman" w:hAnsi="Times New Roman" w:cs="Times New Roman"/>
          <w:sz w:val="24"/>
          <w:szCs w:val="24"/>
        </w:rPr>
        <w:t>Р</w:t>
      </w:r>
      <w:r w:rsidRPr="008A5A60">
        <w:rPr>
          <w:rFonts w:ascii="Times New Roman" w:hAnsi="Times New Roman" w:cs="Times New Roman"/>
          <w:sz w:val="24"/>
          <w:szCs w:val="24"/>
        </w:rPr>
        <w:t>анжировани</w:t>
      </w:r>
      <w:r w:rsidR="007360D5">
        <w:rPr>
          <w:rFonts w:ascii="Times New Roman" w:hAnsi="Times New Roman" w:cs="Times New Roman"/>
          <w:sz w:val="24"/>
          <w:szCs w:val="24"/>
        </w:rPr>
        <w:t>е</w:t>
      </w:r>
      <w:r w:rsidRPr="008A5A60">
        <w:rPr>
          <w:rFonts w:ascii="Times New Roman" w:hAnsi="Times New Roman" w:cs="Times New Roman"/>
          <w:sz w:val="24"/>
          <w:szCs w:val="24"/>
        </w:rPr>
        <w:t xml:space="preserve"> исследуемых факторов после применения Метода Парных Сравнений Саати к экспертным оценкам</w:t>
      </w:r>
    </w:p>
    <w:tbl>
      <w:tblPr>
        <w:tblW w:w="9654" w:type="dxa"/>
        <w:jc w:val="center"/>
        <w:tblLayout w:type="fixed"/>
        <w:tblLook w:val="04A0" w:firstRow="1" w:lastRow="0" w:firstColumn="1" w:lastColumn="0" w:noHBand="0" w:noVBand="1"/>
      </w:tblPr>
      <w:tblGrid>
        <w:gridCol w:w="32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07F38" w:rsidRPr="008A5A60" w:rsidTr="00DA462F">
        <w:trPr>
          <w:trHeight w:val="20"/>
          <w:jc w:val="center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эксперта после применения метода парных сравнений Саати</w:t>
            </w:r>
          </w:p>
        </w:tc>
      </w:tr>
      <w:tr w:rsidR="00007F38" w:rsidRPr="008A5A60" w:rsidTr="00DA462F">
        <w:trPr>
          <w:trHeight w:val="20"/>
          <w:jc w:val="center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007F38" w:rsidRPr="008A5A60" w:rsidTr="00DA462F">
        <w:trPr>
          <w:trHeight w:val="2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Централизованное планирование как источник мобилизационного потенциала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007F38" w:rsidRPr="008A5A60" w:rsidTr="00DA462F">
        <w:trPr>
          <w:trHeight w:val="2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Положительная инерция индустриализации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007F38" w:rsidRPr="008A5A60" w:rsidTr="00DA462F">
        <w:trPr>
          <w:trHeight w:val="2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Финансовая помощь населения и трудовых коллективов фронту (облигации займов, денежные взносы в Фонд помощи фронту)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007F38" w:rsidRPr="008A5A60" w:rsidTr="00DA462F">
        <w:trPr>
          <w:trHeight w:val="2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Самоотверженный труд советских людей, ставший материальным ресурсом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007F38" w:rsidRPr="008A5A60" w:rsidTr="00DA462F">
        <w:trPr>
          <w:trHeight w:val="2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Ленд</w:t>
            </w:r>
            <w:r w:rsidR="00C11731"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07F38" w:rsidRPr="008A5A60" w:rsidTr="00DA462F">
        <w:trPr>
          <w:trHeight w:val="2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Географические масштабы страны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F38" w:rsidRPr="007360D5" w:rsidRDefault="00007F38" w:rsidP="00D17F66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17F66" w:rsidRDefault="008A5A60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Для получения окончательного ранжирования, показатели необходимо усреднить. Но это усреднение имеет смысл только в том случае, если мнения экспертов хотя бы немного согласованы между собой. Если согласованность отсутствует, то усреднение оценок в данном </w:t>
      </w:r>
      <w:r>
        <w:rPr>
          <w:rFonts w:ascii="Times New Roman" w:hAnsi="Times New Roman" w:cs="Times New Roman"/>
          <w:bCs/>
          <w:sz w:val="24"/>
        </w:rPr>
        <w:lastRenderedPageBreak/>
        <w:t xml:space="preserve">случае не имеет смысла. Для того, чтобы определить меру согласия экспертов, рассчитаем коэффициент </w:t>
      </w:r>
      <w:r w:rsidR="004014A1">
        <w:rPr>
          <w:rFonts w:ascii="Times New Roman" w:hAnsi="Times New Roman" w:cs="Times New Roman"/>
          <w:bCs/>
          <w:sz w:val="24"/>
        </w:rPr>
        <w:t>конкордации</w:t>
      </w:r>
      <w:r>
        <w:rPr>
          <w:rFonts w:ascii="Times New Roman" w:hAnsi="Times New Roman" w:cs="Times New Roman"/>
          <w:bCs/>
          <w:sz w:val="24"/>
        </w:rPr>
        <w:t xml:space="preserve"> Кенд</w:t>
      </w:r>
      <w:r w:rsidR="004014A1">
        <w:rPr>
          <w:rFonts w:ascii="Times New Roman" w:hAnsi="Times New Roman" w:cs="Times New Roman"/>
          <w:bCs/>
          <w:sz w:val="24"/>
        </w:rPr>
        <w:t>алла</w:t>
      </w:r>
      <w:r w:rsidR="00D17F66">
        <w:rPr>
          <w:rFonts w:ascii="Times New Roman" w:hAnsi="Times New Roman" w:cs="Times New Roman"/>
          <w:bCs/>
          <w:sz w:val="24"/>
        </w:rPr>
        <w:t xml:space="preserve"> по формуле 1</w:t>
      </w:r>
      <w:r w:rsidR="004014A1">
        <w:rPr>
          <w:rFonts w:ascii="Times New Roman" w:hAnsi="Times New Roman" w:cs="Times New Roman"/>
          <w:bCs/>
          <w:sz w:val="24"/>
        </w:rPr>
        <w:t>.</w:t>
      </w:r>
      <w:r w:rsidR="00C11731">
        <w:rPr>
          <w:rFonts w:ascii="Times New Roman" w:hAnsi="Times New Roman" w:cs="Times New Roman"/>
          <w:bCs/>
          <w:sz w:val="24"/>
        </w:rPr>
        <w:t xml:space="preserve"> </w:t>
      </w:r>
    </w:p>
    <w:tbl>
      <w:tblPr>
        <w:tblStyle w:val="a7"/>
        <w:tblW w:w="0" w:type="auto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0"/>
        <w:gridCol w:w="1241"/>
      </w:tblGrid>
      <w:tr w:rsidR="00783DCB" w:rsidRPr="00783DCB" w:rsidTr="000159FC">
        <w:tc>
          <w:tcPr>
            <w:tcW w:w="8030" w:type="dxa"/>
          </w:tcPr>
          <w:p w:rsidR="00783DCB" w:rsidRPr="000159FC" w:rsidRDefault="00783DCB" w:rsidP="000F1621">
            <w:pPr>
              <w:shd w:val="clear" w:color="auto" w:fill="FEFEFE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u w:val="single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222222"/>
                    <w:sz w:val="20"/>
                    <w:szCs w:val="20"/>
                    <w:lang w:eastAsia="ru-RU"/>
                  </w:rPr>
                  <m:t>W=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222222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0"/>
                        <w:szCs w:val="20"/>
                        <w:lang w:eastAsia="ru-RU"/>
                      </w:rPr>
                      <m:t>12S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222222"/>
                            <w:sz w:val="20"/>
                            <w:szCs w:val="20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222222"/>
                            <w:sz w:val="20"/>
                            <w:szCs w:val="20"/>
                            <w:lang w:eastAsia="ru-RU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222222"/>
                            <w:sz w:val="20"/>
                            <w:szCs w:val="20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0"/>
                        <w:szCs w:val="20"/>
                        <w:lang w:eastAsia="ru-RU"/>
                      </w:rPr>
                      <m:t>*(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222222"/>
                            <w:sz w:val="20"/>
                            <w:szCs w:val="20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222222"/>
                            <w:sz w:val="20"/>
                            <w:szCs w:val="20"/>
                            <w:lang w:eastAsia="ru-RU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222222"/>
                            <w:sz w:val="20"/>
                            <w:szCs w:val="20"/>
                            <w:lang w:eastAsia="ru-RU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color w:val="222222"/>
                        <w:sz w:val="20"/>
                        <w:szCs w:val="20"/>
                        <w:lang w:eastAsia="ru-RU"/>
                      </w:rPr>
                      <m:t>-n)</m:t>
                    </m:r>
                  </m:den>
                </m:f>
              </m:oMath>
            </m:oMathPara>
          </w:p>
        </w:tc>
        <w:tc>
          <w:tcPr>
            <w:tcW w:w="1241" w:type="dxa"/>
            <w:vAlign w:val="center"/>
          </w:tcPr>
          <w:p w:rsidR="00783DCB" w:rsidRPr="000159FC" w:rsidRDefault="00783DCB" w:rsidP="000159FC">
            <w:pPr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159F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val="en-US" w:eastAsia="ru-RU"/>
              </w:rPr>
              <w:t>(</w:t>
            </w:r>
            <w:r w:rsidRPr="000159F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1</w:t>
            </w:r>
            <w:r w:rsidRPr="000159F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val="en-US" w:eastAsia="ru-RU"/>
              </w:rPr>
              <w:t>)</w:t>
            </w:r>
            <w:r w:rsidR="000159F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,</w:t>
            </w:r>
          </w:p>
        </w:tc>
      </w:tr>
    </w:tbl>
    <w:p w:rsidR="000159FC" w:rsidRPr="000159FC" w:rsidRDefault="000159FC" w:rsidP="000159FC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59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 </w:t>
      </w:r>
      <w:r w:rsidRPr="000159FC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m</w:t>
      </w:r>
      <w:r w:rsidRPr="000159F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Pr="000159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число экспертов в группе,</w:t>
      </w:r>
    </w:p>
    <w:p w:rsidR="000159FC" w:rsidRPr="000159FC" w:rsidRDefault="000159FC" w:rsidP="000159FC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59FC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n</w:t>
      </w:r>
      <w:r w:rsidRPr="000159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число факторов,</w:t>
      </w:r>
    </w:p>
    <w:p w:rsidR="000159FC" w:rsidRPr="000159FC" w:rsidRDefault="000159FC" w:rsidP="000159FC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59FC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S</w:t>
      </w:r>
      <w:r w:rsidRPr="000159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сумма квадратов разностей рангов (отклонений от среднего).</w:t>
      </w:r>
    </w:p>
    <w:p w:rsidR="000159FC" w:rsidRPr="000159FC" w:rsidRDefault="000159FC" w:rsidP="000159FC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159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Сумму квадратов разностей рангов (S) можно найти по формуле (2).</w:t>
      </w:r>
    </w:p>
    <w:tbl>
      <w:tblPr>
        <w:tblStyle w:val="a7"/>
        <w:tblW w:w="0" w:type="auto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0"/>
        <w:gridCol w:w="1428"/>
      </w:tblGrid>
      <w:tr w:rsidR="000159FC" w:rsidTr="000159FC">
        <w:trPr>
          <w:trHeight w:val="1310"/>
        </w:trPr>
        <w:tc>
          <w:tcPr>
            <w:tcW w:w="8030" w:type="dxa"/>
            <w:hideMark/>
          </w:tcPr>
          <w:p w:rsidR="000159FC" w:rsidRPr="000159FC" w:rsidRDefault="000159FC">
            <w:pPr>
              <w:spacing w:before="300" w:after="300"/>
              <w:ind w:right="90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u w:val="single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222222"/>
                    <w:sz w:val="20"/>
                    <w:szCs w:val="20"/>
                    <w:lang w:val="en-US" w:eastAsia="ru-RU"/>
                  </w:rPr>
                  <m:t>S=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color w:val="222222"/>
                        <w:sz w:val="20"/>
                        <w:szCs w:val="20"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22222"/>
                        <w:sz w:val="20"/>
                        <w:szCs w:val="20"/>
                        <w:lang w:val="en-US" w:eastAsia="ru-RU"/>
                      </w:rPr>
                      <m:t>j=1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222222"/>
                        <w:sz w:val="20"/>
                        <w:szCs w:val="20"/>
                        <w:lang w:val="en-US" w:eastAsia="ru-RU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color w:val="222222"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color w:val="222222"/>
                                <w:sz w:val="20"/>
                                <w:szCs w:val="20"/>
                                <w:lang w:val="en-US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222222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222222"/>
                                    <w:sz w:val="20"/>
                                    <w:szCs w:val="20"/>
                                    <w:lang w:val="en-US" w:eastAsia="ru-RU"/>
                                  </w:rPr>
                                  <m:t>i=1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222222"/>
                                    <w:sz w:val="20"/>
                                    <w:szCs w:val="20"/>
                                    <w:lang w:val="en-US" w:eastAsia="ru-RU"/>
                                  </w:rPr>
                                  <m:t>m</m:t>
                                </m: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color w:val="222222"/>
                                        <w:sz w:val="20"/>
                                        <w:szCs w:val="20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222222"/>
                                        <w:sz w:val="20"/>
                                        <w:szCs w:val="20"/>
                                        <w:lang w:val="en-US" w:eastAsia="ru-RU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color w:val="222222"/>
                                        <w:sz w:val="20"/>
                                        <w:szCs w:val="20"/>
                                        <w:lang w:val="en-US" w:eastAsia="ru-RU"/>
                                      </w:rPr>
                                      <m:t>ij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222222"/>
                                    <w:sz w:val="20"/>
                                    <w:szCs w:val="20"/>
                                    <w:lang w:val="en-US" w:eastAsia="ru-RU"/>
                                  </w:rPr>
                                  <m:t>-</m:t>
                                </m:r>
                              </m:e>
                            </m:nary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222222"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222222"/>
                                    <w:sz w:val="20"/>
                                    <w:szCs w:val="20"/>
                                    <w:lang w:val="en-US" w:eastAsia="ru-RU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222222"/>
                                    <w:sz w:val="20"/>
                                    <w:szCs w:val="20"/>
                                    <w:lang w:val="en-US" w:eastAsia="ru-RU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m:t>m(n+1)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22222"/>
                            <w:sz w:val="20"/>
                            <w:szCs w:val="20"/>
                            <w:lang w:val="en-US" w:eastAsia="ru-RU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1428" w:type="dxa"/>
            <w:vAlign w:val="center"/>
          </w:tcPr>
          <w:p w:rsidR="000159FC" w:rsidRPr="000159FC" w:rsidRDefault="000159FC" w:rsidP="000159FC">
            <w:pPr>
              <w:spacing w:before="300" w:after="300"/>
              <w:ind w:right="900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159F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(2)</w:t>
            </w:r>
          </w:p>
        </w:tc>
      </w:tr>
    </w:tbl>
    <w:p w:rsidR="007360D5" w:rsidRDefault="00C11731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Рассчитанный коэффициент Кендалла составляет 0,53. Это означает удовлетворительную согласованность мнений экспертов</w:t>
      </w:r>
      <w:r w:rsidR="00373F83">
        <w:rPr>
          <w:rFonts w:ascii="Times New Roman" w:hAnsi="Times New Roman" w:cs="Times New Roman"/>
          <w:bCs/>
          <w:sz w:val="24"/>
        </w:rPr>
        <w:t xml:space="preserve"> (близкая к высокой согласованность). </w:t>
      </w:r>
    </w:p>
    <w:p w:rsidR="00613605" w:rsidRDefault="00613605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В результате обработки экспертных мнений, факторы по степени важности располагаются следующим образом:</w:t>
      </w:r>
    </w:p>
    <w:p w:rsidR="00613605" w:rsidRPr="00783DCB" w:rsidRDefault="00613605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</w:t>
      </w:r>
      <w:r w:rsidR="00783DCB" w:rsidRPr="00783DCB">
        <w:rPr>
          <w:rFonts w:ascii="Times New Roman" w:hAnsi="Times New Roman" w:cs="Times New Roman"/>
          <w:bCs/>
          <w:sz w:val="24"/>
        </w:rPr>
        <w:t>Самоотверженный труд советских людей, ставший материальным ресурсом;</w:t>
      </w:r>
    </w:p>
    <w:p w:rsidR="00613605" w:rsidRPr="00783DCB" w:rsidRDefault="00613605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 w:rsidR="00783DCB" w:rsidRPr="00783DCB">
        <w:rPr>
          <w:rFonts w:ascii="Times New Roman" w:hAnsi="Times New Roman" w:cs="Times New Roman"/>
          <w:bCs/>
          <w:sz w:val="24"/>
        </w:rPr>
        <w:t>Централизованное планирование как источник мобилизационного потенциала экономики;</w:t>
      </w:r>
    </w:p>
    <w:p w:rsidR="00783DCB" w:rsidRPr="0092732B" w:rsidRDefault="00783DCB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 w:rsidRPr="00783DCB">
        <w:rPr>
          <w:rFonts w:ascii="Times New Roman" w:hAnsi="Times New Roman" w:cs="Times New Roman"/>
          <w:bCs/>
          <w:sz w:val="24"/>
        </w:rPr>
        <w:t>3.</w:t>
      </w:r>
      <w:r w:rsidRPr="00783DC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83DCB">
        <w:rPr>
          <w:rFonts w:ascii="Times New Roman" w:hAnsi="Times New Roman" w:cs="Times New Roman"/>
          <w:bCs/>
          <w:sz w:val="24"/>
        </w:rPr>
        <w:t>Финансовая помощь населения и трудовых коллективов фронту;</w:t>
      </w:r>
    </w:p>
    <w:p w:rsidR="00783DCB" w:rsidRPr="0092732B" w:rsidRDefault="00783DCB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 w:rsidRPr="00783DCB">
        <w:rPr>
          <w:rFonts w:ascii="Times New Roman" w:hAnsi="Times New Roman" w:cs="Times New Roman"/>
          <w:bCs/>
          <w:sz w:val="24"/>
        </w:rPr>
        <w:t>4.</w:t>
      </w:r>
      <w:r w:rsidRPr="00783DC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83DCB">
        <w:rPr>
          <w:rFonts w:ascii="Times New Roman" w:hAnsi="Times New Roman" w:cs="Times New Roman"/>
          <w:bCs/>
          <w:sz w:val="24"/>
        </w:rPr>
        <w:t>Положительная инерция индустриализации</w:t>
      </w:r>
      <w:r w:rsidRPr="0092732B">
        <w:rPr>
          <w:rFonts w:ascii="Times New Roman" w:hAnsi="Times New Roman" w:cs="Times New Roman"/>
          <w:bCs/>
          <w:sz w:val="24"/>
        </w:rPr>
        <w:t>;</w:t>
      </w:r>
    </w:p>
    <w:p w:rsidR="00783DCB" w:rsidRDefault="00783DCB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 w:rsidRPr="00783DCB">
        <w:rPr>
          <w:rFonts w:ascii="Times New Roman" w:hAnsi="Times New Roman" w:cs="Times New Roman"/>
          <w:bCs/>
          <w:sz w:val="24"/>
        </w:rPr>
        <w:t>5.</w:t>
      </w:r>
      <w:r w:rsidRPr="00783DC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83DCB">
        <w:rPr>
          <w:rFonts w:ascii="Times New Roman" w:hAnsi="Times New Roman" w:cs="Times New Roman"/>
          <w:bCs/>
          <w:sz w:val="24"/>
        </w:rPr>
        <w:t xml:space="preserve">Географические масштабы </w:t>
      </w:r>
      <w:r>
        <w:rPr>
          <w:rFonts w:ascii="Times New Roman" w:hAnsi="Times New Roman" w:cs="Times New Roman"/>
          <w:bCs/>
          <w:sz w:val="24"/>
        </w:rPr>
        <w:t xml:space="preserve">и особенности </w:t>
      </w:r>
      <w:r w:rsidRPr="00783DCB">
        <w:rPr>
          <w:rFonts w:ascii="Times New Roman" w:hAnsi="Times New Roman" w:cs="Times New Roman"/>
          <w:bCs/>
          <w:sz w:val="24"/>
        </w:rPr>
        <w:t>страны;</w:t>
      </w:r>
    </w:p>
    <w:p w:rsidR="00783DCB" w:rsidRPr="00783DCB" w:rsidRDefault="00783DCB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6.</w:t>
      </w:r>
      <w:r w:rsidRPr="00783DC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83DCB">
        <w:rPr>
          <w:rFonts w:ascii="Times New Roman" w:hAnsi="Times New Roman" w:cs="Times New Roman"/>
          <w:bCs/>
          <w:sz w:val="24"/>
        </w:rPr>
        <w:t>Ленд - лиз</w:t>
      </w:r>
    </w:p>
    <w:p w:rsidR="00373F83" w:rsidRDefault="00373F83" w:rsidP="007360D5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Итак, согласно мнению экспертов, самым главным фактором устойчивости экономики СССР в годы Великой Отечественной войны является самоотверженный труд советских граждан. Он поистине стал материальным ресурсом, обеспечившим победу над врагом. Следующим по важности фактором выступает централизованное планирование, которое обе</w:t>
      </w:r>
      <w:r w:rsidR="007360D5">
        <w:rPr>
          <w:rFonts w:ascii="Times New Roman" w:hAnsi="Times New Roman" w:cs="Times New Roman"/>
          <w:bCs/>
          <w:sz w:val="24"/>
        </w:rPr>
        <w:t>с</w:t>
      </w:r>
      <w:r>
        <w:rPr>
          <w:rFonts w:ascii="Times New Roman" w:hAnsi="Times New Roman" w:cs="Times New Roman"/>
          <w:bCs/>
          <w:sz w:val="24"/>
        </w:rPr>
        <w:t>печило мобилизационный потенциал сове</w:t>
      </w:r>
      <w:r w:rsidR="007360D5">
        <w:rPr>
          <w:rFonts w:ascii="Times New Roman" w:hAnsi="Times New Roman" w:cs="Times New Roman"/>
          <w:bCs/>
          <w:sz w:val="24"/>
        </w:rPr>
        <w:t>т</w:t>
      </w:r>
      <w:r>
        <w:rPr>
          <w:rFonts w:ascii="Times New Roman" w:hAnsi="Times New Roman" w:cs="Times New Roman"/>
          <w:bCs/>
          <w:sz w:val="24"/>
        </w:rPr>
        <w:t>ской экономики и позволил</w:t>
      </w:r>
      <w:r w:rsidR="007360D5">
        <w:rPr>
          <w:rFonts w:ascii="Times New Roman" w:hAnsi="Times New Roman" w:cs="Times New Roman"/>
          <w:bCs/>
          <w:sz w:val="24"/>
        </w:rPr>
        <w:t>о</w:t>
      </w:r>
      <w:r>
        <w:rPr>
          <w:rFonts w:ascii="Times New Roman" w:hAnsi="Times New Roman" w:cs="Times New Roman"/>
          <w:bCs/>
          <w:sz w:val="24"/>
        </w:rPr>
        <w:t xml:space="preserve"> организовать оборонную индустрию. Победа СССР не была бы возможна без проведенной индустриализации в 30 – е годы, </w:t>
      </w:r>
      <w:r w:rsidR="00E0627A">
        <w:rPr>
          <w:rFonts w:ascii="Times New Roman" w:hAnsi="Times New Roman" w:cs="Times New Roman"/>
          <w:bCs/>
          <w:sz w:val="24"/>
        </w:rPr>
        <w:t xml:space="preserve">благодаря чему были </w:t>
      </w:r>
      <w:r>
        <w:rPr>
          <w:rFonts w:ascii="Times New Roman" w:hAnsi="Times New Roman" w:cs="Times New Roman"/>
          <w:bCs/>
          <w:sz w:val="24"/>
        </w:rPr>
        <w:t>постро</w:t>
      </w:r>
      <w:r w:rsidR="00E0627A">
        <w:rPr>
          <w:rFonts w:ascii="Times New Roman" w:hAnsi="Times New Roman" w:cs="Times New Roman"/>
          <w:bCs/>
          <w:sz w:val="24"/>
        </w:rPr>
        <w:t>ены</w:t>
      </w:r>
      <w:r>
        <w:rPr>
          <w:rFonts w:ascii="Times New Roman" w:hAnsi="Times New Roman" w:cs="Times New Roman"/>
          <w:bCs/>
          <w:sz w:val="24"/>
        </w:rPr>
        <w:t xml:space="preserve"> промышленные гиганты, обеспеч</w:t>
      </w:r>
      <w:r w:rsidR="00E0627A">
        <w:rPr>
          <w:rFonts w:ascii="Times New Roman" w:hAnsi="Times New Roman" w:cs="Times New Roman"/>
          <w:bCs/>
          <w:sz w:val="24"/>
        </w:rPr>
        <w:t>ено</w:t>
      </w:r>
      <w:r>
        <w:rPr>
          <w:rFonts w:ascii="Times New Roman" w:hAnsi="Times New Roman" w:cs="Times New Roman"/>
          <w:bCs/>
          <w:sz w:val="24"/>
        </w:rPr>
        <w:t xml:space="preserve"> высшее техническое образование и</w:t>
      </w:r>
      <w:r w:rsidR="00E0627A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участие женщин в хозяйственной жизни государства. </w:t>
      </w:r>
      <w:r w:rsidR="009C06EC">
        <w:rPr>
          <w:rFonts w:ascii="Times New Roman" w:hAnsi="Times New Roman" w:cs="Times New Roman"/>
          <w:bCs/>
          <w:sz w:val="24"/>
        </w:rPr>
        <w:t>Чрезвычайно важны были географические масштабы и особенности страны</w:t>
      </w:r>
      <w:r w:rsidR="00E0627A">
        <w:rPr>
          <w:rFonts w:ascii="Times New Roman" w:hAnsi="Times New Roman" w:cs="Times New Roman"/>
          <w:bCs/>
          <w:sz w:val="24"/>
        </w:rPr>
        <w:t>. Они выступали источником</w:t>
      </w:r>
      <w:r w:rsidR="009C06EC">
        <w:rPr>
          <w:rFonts w:ascii="Times New Roman" w:hAnsi="Times New Roman" w:cs="Times New Roman"/>
          <w:bCs/>
          <w:sz w:val="24"/>
        </w:rPr>
        <w:t xml:space="preserve"> военной мобилизации населения, площадк</w:t>
      </w:r>
      <w:r w:rsidR="00E0627A">
        <w:rPr>
          <w:rFonts w:ascii="Times New Roman" w:hAnsi="Times New Roman" w:cs="Times New Roman"/>
          <w:bCs/>
          <w:sz w:val="24"/>
        </w:rPr>
        <w:t>ой</w:t>
      </w:r>
      <w:r w:rsidR="009C06EC">
        <w:rPr>
          <w:rFonts w:ascii="Times New Roman" w:hAnsi="Times New Roman" w:cs="Times New Roman"/>
          <w:bCs/>
          <w:sz w:val="24"/>
        </w:rPr>
        <w:t xml:space="preserve"> для эвакуации промышленности, источник</w:t>
      </w:r>
      <w:r w:rsidR="00E0627A">
        <w:rPr>
          <w:rFonts w:ascii="Times New Roman" w:hAnsi="Times New Roman" w:cs="Times New Roman"/>
          <w:bCs/>
          <w:sz w:val="24"/>
        </w:rPr>
        <w:t>ом</w:t>
      </w:r>
      <w:r w:rsidR="009C06EC">
        <w:rPr>
          <w:rFonts w:ascii="Times New Roman" w:hAnsi="Times New Roman" w:cs="Times New Roman"/>
          <w:bCs/>
          <w:sz w:val="24"/>
        </w:rPr>
        <w:t xml:space="preserve"> добычи полезных ископаемых. Безусловно, очень важным фактором была финансовая помощь населения фронту</w:t>
      </w:r>
      <w:r w:rsidR="00E0627A">
        <w:rPr>
          <w:rFonts w:ascii="Times New Roman" w:hAnsi="Times New Roman" w:cs="Times New Roman"/>
          <w:bCs/>
          <w:sz w:val="24"/>
        </w:rPr>
        <w:t xml:space="preserve">, здесь учитывается </w:t>
      </w:r>
      <w:r w:rsidR="009C06EC">
        <w:rPr>
          <w:rFonts w:ascii="Times New Roman" w:hAnsi="Times New Roman" w:cs="Times New Roman"/>
          <w:bCs/>
          <w:sz w:val="24"/>
        </w:rPr>
        <w:t xml:space="preserve">как участие в приобретении государственных займов, так и прямая финансовая помощь. Свою роль сыграла и внешняя помощь, то есть </w:t>
      </w:r>
      <w:r w:rsidR="00E0627A">
        <w:rPr>
          <w:rFonts w:ascii="Times New Roman" w:hAnsi="Times New Roman" w:cs="Times New Roman"/>
          <w:bCs/>
          <w:sz w:val="24"/>
        </w:rPr>
        <w:t>программа Л</w:t>
      </w:r>
      <w:r w:rsidR="009C06EC">
        <w:rPr>
          <w:rFonts w:ascii="Times New Roman" w:hAnsi="Times New Roman" w:cs="Times New Roman"/>
          <w:bCs/>
          <w:sz w:val="24"/>
        </w:rPr>
        <w:t>ен</w:t>
      </w:r>
      <w:r w:rsidR="00E0627A">
        <w:rPr>
          <w:rFonts w:ascii="Times New Roman" w:hAnsi="Times New Roman" w:cs="Times New Roman"/>
          <w:bCs/>
          <w:sz w:val="24"/>
        </w:rPr>
        <w:t>д</w:t>
      </w:r>
      <w:r w:rsidR="009C06EC">
        <w:rPr>
          <w:rFonts w:ascii="Times New Roman" w:hAnsi="Times New Roman" w:cs="Times New Roman"/>
          <w:bCs/>
          <w:sz w:val="24"/>
        </w:rPr>
        <w:t xml:space="preserve">- лиз, она была не решающим, но довольно важным фактором. </w:t>
      </w:r>
      <w:r w:rsidR="009C06EC" w:rsidRPr="009C06EC">
        <w:rPr>
          <w:rFonts w:ascii="Times New Roman" w:hAnsi="Times New Roman" w:cs="Times New Roman"/>
          <w:bCs/>
          <w:sz w:val="24"/>
        </w:rPr>
        <w:t>Безусловно, Советский народ победил бы в этой страшной войне и без помощи союзников, но цена нашей победы была бы значительно выше.</w:t>
      </w:r>
    </w:p>
    <w:p w:rsidR="00C11731" w:rsidRPr="00A87B55" w:rsidRDefault="00C11731" w:rsidP="008A5A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CE5EA3" w:rsidRDefault="00CE5EA3" w:rsidP="00A25B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A25BE9">
        <w:rPr>
          <w:rFonts w:ascii="Times New Roman" w:hAnsi="Times New Roman" w:cs="Times New Roman"/>
          <w:b/>
          <w:sz w:val="24"/>
        </w:rPr>
        <w:t xml:space="preserve">Список литературы: </w:t>
      </w:r>
    </w:p>
    <w:p w:rsidR="007360D5" w:rsidRDefault="0001302A" w:rsidP="0092732B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</w:rPr>
        <w:t>1.</w:t>
      </w:r>
      <w:r w:rsidRPr="0001302A">
        <w:rPr>
          <w:color w:val="000000"/>
        </w:rPr>
        <w:t>Алтухова</w:t>
      </w:r>
      <w:r>
        <w:rPr>
          <w:color w:val="000000"/>
        </w:rPr>
        <w:t xml:space="preserve"> Н.В.</w:t>
      </w:r>
      <w:r w:rsidRPr="0001302A">
        <w:rPr>
          <w:color w:val="000000"/>
        </w:rPr>
        <w:t>,</w:t>
      </w:r>
      <w:r>
        <w:rPr>
          <w:color w:val="000000"/>
        </w:rPr>
        <w:t xml:space="preserve"> </w:t>
      </w:r>
      <w:r w:rsidRPr="0001302A">
        <w:rPr>
          <w:color w:val="000000"/>
        </w:rPr>
        <w:t>Политицкая</w:t>
      </w:r>
      <w:r>
        <w:rPr>
          <w:color w:val="000000"/>
        </w:rPr>
        <w:t xml:space="preserve"> Б.И. С</w:t>
      </w:r>
      <w:r w:rsidRPr="0001302A">
        <w:rPr>
          <w:color w:val="000000"/>
        </w:rPr>
        <w:t xml:space="preserve">оветская экономика в годы </w:t>
      </w:r>
      <w:r>
        <w:rPr>
          <w:color w:val="000000"/>
        </w:rPr>
        <w:t>В</w:t>
      </w:r>
      <w:r w:rsidRPr="0001302A">
        <w:rPr>
          <w:color w:val="000000"/>
        </w:rPr>
        <w:t xml:space="preserve">еликой </w:t>
      </w:r>
      <w:r>
        <w:rPr>
          <w:color w:val="000000"/>
        </w:rPr>
        <w:t>О</w:t>
      </w:r>
      <w:r w:rsidRPr="0001302A">
        <w:rPr>
          <w:color w:val="000000"/>
        </w:rPr>
        <w:t>течественной</w:t>
      </w:r>
      <w:r w:rsidRPr="0001302A">
        <w:rPr>
          <w:rStyle w:val="apple-converted-space"/>
          <w:color w:val="000000"/>
        </w:rPr>
        <w:t> </w:t>
      </w:r>
      <w:r w:rsidRPr="0001302A">
        <w:rPr>
          <w:color w:val="000000"/>
        </w:rPr>
        <w:t>войны: устойчивость и эффективность» //</w:t>
      </w:r>
      <w:r w:rsidRPr="0001302A">
        <w:rPr>
          <w:rStyle w:val="apple-converted-space"/>
          <w:color w:val="000000"/>
        </w:rPr>
        <w:t> </w:t>
      </w:r>
      <w:r w:rsidRPr="0001302A">
        <w:rPr>
          <w:color w:val="000000"/>
        </w:rPr>
        <w:t>экономика устойчивого развития. 2024. № 4(60)</w:t>
      </w:r>
    </w:p>
    <w:p w:rsidR="009C06EC" w:rsidRPr="0001302A" w:rsidRDefault="0001302A" w:rsidP="0092732B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</w:rPr>
        <w:t>2.</w:t>
      </w:r>
      <w:r w:rsidRPr="0001302A">
        <w:rPr>
          <w:color w:val="000000"/>
        </w:rPr>
        <w:t>Алтухова Н.В., Политицкая Б.И. Факторы эффективности советской экономики</w:t>
      </w:r>
      <w:r w:rsidRPr="0001302A">
        <w:rPr>
          <w:rStyle w:val="apple-converted-space"/>
          <w:color w:val="000000"/>
        </w:rPr>
        <w:t> </w:t>
      </w:r>
      <w:r w:rsidRPr="0001302A">
        <w:rPr>
          <w:color w:val="000000"/>
        </w:rPr>
        <w:t>в годы Великой Отечественной войны / Экономика устойчивого развития. 2024. № 3(59)</w:t>
      </w:r>
    </w:p>
    <w:p w:rsidR="009C06EC" w:rsidRPr="0001302A" w:rsidRDefault="0001302A" w:rsidP="00927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C06EC" w:rsidRPr="0001302A">
        <w:rPr>
          <w:rFonts w:ascii="Times New Roman" w:hAnsi="Times New Roman" w:cs="Times New Roman"/>
          <w:sz w:val="24"/>
          <w:szCs w:val="24"/>
        </w:rPr>
        <w:t>Туйкин А.Р. Особенности применения</w:t>
      </w:r>
      <w:r w:rsidRPr="0001302A">
        <w:rPr>
          <w:rFonts w:ascii="Times New Roman" w:hAnsi="Times New Roman" w:cs="Times New Roman"/>
          <w:sz w:val="24"/>
          <w:szCs w:val="24"/>
        </w:rPr>
        <w:t xml:space="preserve"> </w:t>
      </w:r>
      <w:r w:rsidR="009C06EC" w:rsidRPr="0001302A">
        <w:rPr>
          <w:rFonts w:ascii="Times New Roman" w:hAnsi="Times New Roman" w:cs="Times New Roman"/>
          <w:sz w:val="24"/>
          <w:szCs w:val="24"/>
        </w:rPr>
        <w:t>коэффициента</w:t>
      </w:r>
      <w:r w:rsidRPr="0001302A">
        <w:rPr>
          <w:rFonts w:ascii="Times New Roman" w:hAnsi="Times New Roman" w:cs="Times New Roman"/>
          <w:sz w:val="24"/>
          <w:szCs w:val="24"/>
        </w:rPr>
        <w:t xml:space="preserve"> </w:t>
      </w:r>
      <w:r w:rsidR="009C06EC" w:rsidRPr="0001302A">
        <w:rPr>
          <w:rFonts w:ascii="Times New Roman" w:hAnsi="Times New Roman" w:cs="Times New Roman"/>
          <w:sz w:val="24"/>
          <w:szCs w:val="24"/>
        </w:rPr>
        <w:t>конкордации   для</w:t>
      </w:r>
      <w:r w:rsidRPr="0001302A">
        <w:rPr>
          <w:rFonts w:ascii="Times New Roman" w:hAnsi="Times New Roman" w:cs="Times New Roman"/>
          <w:sz w:val="24"/>
          <w:szCs w:val="24"/>
        </w:rPr>
        <w:t xml:space="preserve"> </w:t>
      </w:r>
      <w:r w:rsidR="009C06EC" w:rsidRPr="0001302A">
        <w:rPr>
          <w:rFonts w:ascii="Times New Roman" w:hAnsi="Times New Roman" w:cs="Times New Roman"/>
          <w:sz w:val="24"/>
          <w:szCs w:val="24"/>
        </w:rPr>
        <w:t>оценки  значимости  выводов  при  исследовании  социально-экономических  процессов</w:t>
      </w:r>
      <w:r w:rsidRPr="0001302A">
        <w:rPr>
          <w:rFonts w:ascii="Times New Roman" w:hAnsi="Times New Roman" w:cs="Times New Roman"/>
          <w:sz w:val="24"/>
          <w:szCs w:val="24"/>
        </w:rPr>
        <w:t xml:space="preserve"> / Материалы L Самарской областной студенческой научной конференции. Том 1</w:t>
      </w:r>
      <w:r w:rsidR="009C06EC" w:rsidRPr="0001302A">
        <w:rPr>
          <w:rFonts w:ascii="Times New Roman" w:hAnsi="Times New Roman" w:cs="Times New Roman"/>
          <w:sz w:val="24"/>
          <w:szCs w:val="24"/>
        </w:rPr>
        <w:t xml:space="preserve"> [Электронный ресурс] URL: https://ter-arkhiv.ru/osnk-sr2024/article/view/632314/157122</w:t>
      </w:r>
    </w:p>
    <w:p w:rsidR="003D1EB5" w:rsidRPr="00A25BE9" w:rsidRDefault="003D1EB5" w:rsidP="00E06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1EB5" w:rsidRPr="00A25BE9" w:rsidSect="00144D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F1" w:rsidRDefault="004015F1" w:rsidP="00BD4A94">
      <w:pPr>
        <w:spacing w:after="0" w:line="240" w:lineRule="auto"/>
      </w:pPr>
      <w:r>
        <w:separator/>
      </w:r>
    </w:p>
  </w:endnote>
  <w:endnote w:type="continuationSeparator" w:id="0">
    <w:p w:rsidR="004015F1" w:rsidRDefault="004015F1" w:rsidP="00BD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F1" w:rsidRDefault="004015F1" w:rsidP="00BD4A94">
      <w:pPr>
        <w:spacing w:after="0" w:line="240" w:lineRule="auto"/>
      </w:pPr>
      <w:r>
        <w:separator/>
      </w:r>
    </w:p>
  </w:footnote>
  <w:footnote w:type="continuationSeparator" w:id="0">
    <w:p w:rsidR="004015F1" w:rsidRDefault="004015F1" w:rsidP="00BD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720"/>
    <w:multiLevelType w:val="hybridMultilevel"/>
    <w:tmpl w:val="2EAE252E"/>
    <w:lvl w:ilvl="0" w:tplc="B83EA2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704A"/>
    <w:multiLevelType w:val="hybridMultilevel"/>
    <w:tmpl w:val="537C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36186"/>
    <w:multiLevelType w:val="hybridMultilevel"/>
    <w:tmpl w:val="3F3C75AA"/>
    <w:lvl w:ilvl="0" w:tplc="291A0F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AB0C03"/>
    <w:multiLevelType w:val="hybridMultilevel"/>
    <w:tmpl w:val="3146D4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156FD"/>
    <w:multiLevelType w:val="multilevel"/>
    <w:tmpl w:val="DB5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55C52"/>
    <w:multiLevelType w:val="hybridMultilevel"/>
    <w:tmpl w:val="FB0209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2123A"/>
    <w:multiLevelType w:val="hybridMultilevel"/>
    <w:tmpl w:val="54CC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05"/>
    <w:rsid w:val="00007F38"/>
    <w:rsid w:val="00007FD3"/>
    <w:rsid w:val="0001302A"/>
    <w:rsid w:val="000159FC"/>
    <w:rsid w:val="000370DD"/>
    <w:rsid w:val="000737D4"/>
    <w:rsid w:val="00077573"/>
    <w:rsid w:val="000C5325"/>
    <w:rsid w:val="00105471"/>
    <w:rsid w:val="00114AF5"/>
    <w:rsid w:val="00144D2D"/>
    <w:rsid w:val="0015171A"/>
    <w:rsid w:val="001840FF"/>
    <w:rsid w:val="001E7825"/>
    <w:rsid w:val="00205F62"/>
    <w:rsid w:val="0025424B"/>
    <w:rsid w:val="00265010"/>
    <w:rsid w:val="0029459F"/>
    <w:rsid w:val="0029494D"/>
    <w:rsid w:val="002A78AA"/>
    <w:rsid w:val="002B5510"/>
    <w:rsid w:val="002F11A2"/>
    <w:rsid w:val="002F39FB"/>
    <w:rsid w:val="00326EC4"/>
    <w:rsid w:val="00333614"/>
    <w:rsid w:val="00341C30"/>
    <w:rsid w:val="003519F3"/>
    <w:rsid w:val="00373F83"/>
    <w:rsid w:val="00396F7E"/>
    <w:rsid w:val="003A0592"/>
    <w:rsid w:val="003A1941"/>
    <w:rsid w:val="003C2140"/>
    <w:rsid w:val="003D1EB5"/>
    <w:rsid w:val="003E1E4C"/>
    <w:rsid w:val="003E2B44"/>
    <w:rsid w:val="003F2852"/>
    <w:rsid w:val="003F7805"/>
    <w:rsid w:val="004014A1"/>
    <w:rsid w:val="004015F1"/>
    <w:rsid w:val="00415277"/>
    <w:rsid w:val="00465C17"/>
    <w:rsid w:val="00470381"/>
    <w:rsid w:val="004876AA"/>
    <w:rsid w:val="00493D3B"/>
    <w:rsid w:val="004A0847"/>
    <w:rsid w:val="004A149D"/>
    <w:rsid w:val="004C0322"/>
    <w:rsid w:val="005024A7"/>
    <w:rsid w:val="00520B01"/>
    <w:rsid w:val="005344D3"/>
    <w:rsid w:val="005661F8"/>
    <w:rsid w:val="00597599"/>
    <w:rsid w:val="005979DA"/>
    <w:rsid w:val="005D3A69"/>
    <w:rsid w:val="005E0A5E"/>
    <w:rsid w:val="00613605"/>
    <w:rsid w:val="00640EBA"/>
    <w:rsid w:val="00652637"/>
    <w:rsid w:val="00682E4F"/>
    <w:rsid w:val="0069645D"/>
    <w:rsid w:val="007040CF"/>
    <w:rsid w:val="007153A1"/>
    <w:rsid w:val="007227F1"/>
    <w:rsid w:val="007360D5"/>
    <w:rsid w:val="00737AA6"/>
    <w:rsid w:val="0075561B"/>
    <w:rsid w:val="00783DCB"/>
    <w:rsid w:val="007D4A8C"/>
    <w:rsid w:val="007E215C"/>
    <w:rsid w:val="00800499"/>
    <w:rsid w:val="008036E7"/>
    <w:rsid w:val="00823AC1"/>
    <w:rsid w:val="00861247"/>
    <w:rsid w:val="00867356"/>
    <w:rsid w:val="008A5A60"/>
    <w:rsid w:val="008B1733"/>
    <w:rsid w:val="008B4FD7"/>
    <w:rsid w:val="008C1712"/>
    <w:rsid w:val="008E486B"/>
    <w:rsid w:val="008F20BE"/>
    <w:rsid w:val="009024AC"/>
    <w:rsid w:val="00905833"/>
    <w:rsid w:val="009060E7"/>
    <w:rsid w:val="009164AD"/>
    <w:rsid w:val="0092732B"/>
    <w:rsid w:val="009C06EC"/>
    <w:rsid w:val="009C34EC"/>
    <w:rsid w:val="009E2656"/>
    <w:rsid w:val="009E7078"/>
    <w:rsid w:val="00A15C23"/>
    <w:rsid w:val="00A25BE9"/>
    <w:rsid w:val="00A351F1"/>
    <w:rsid w:val="00A554F3"/>
    <w:rsid w:val="00A57780"/>
    <w:rsid w:val="00A63A08"/>
    <w:rsid w:val="00A766DE"/>
    <w:rsid w:val="00A87B55"/>
    <w:rsid w:val="00A94133"/>
    <w:rsid w:val="00AF1B7C"/>
    <w:rsid w:val="00B2612E"/>
    <w:rsid w:val="00B439B7"/>
    <w:rsid w:val="00B67CD0"/>
    <w:rsid w:val="00B95214"/>
    <w:rsid w:val="00B964B1"/>
    <w:rsid w:val="00BD11D4"/>
    <w:rsid w:val="00BD4A94"/>
    <w:rsid w:val="00BF4401"/>
    <w:rsid w:val="00C11731"/>
    <w:rsid w:val="00C13765"/>
    <w:rsid w:val="00C254C8"/>
    <w:rsid w:val="00C4474D"/>
    <w:rsid w:val="00C53D18"/>
    <w:rsid w:val="00C743A3"/>
    <w:rsid w:val="00CE5EA3"/>
    <w:rsid w:val="00D119FB"/>
    <w:rsid w:val="00D16269"/>
    <w:rsid w:val="00D16596"/>
    <w:rsid w:val="00D17F66"/>
    <w:rsid w:val="00DA2C1D"/>
    <w:rsid w:val="00DA462F"/>
    <w:rsid w:val="00DC696B"/>
    <w:rsid w:val="00DD2591"/>
    <w:rsid w:val="00E0627A"/>
    <w:rsid w:val="00E138AA"/>
    <w:rsid w:val="00E203D6"/>
    <w:rsid w:val="00E22C13"/>
    <w:rsid w:val="00E31863"/>
    <w:rsid w:val="00E46415"/>
    <w:rsid w:val="00ED408D"/>
    <w:rsid w:val="00EE673F"/>
    <w:rsid w:val="00F1161A"/>
    <w:rsid w:val="00F420BE"/>
    <w:rsid w:val="00F62759"/>
    <w:rsid w:val="00F70BEB"/>
    <w:rsid w:val="00FB5F69"/>
    <w:rsid w:val="00FE78DD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32C1E-CBCF-4276-B1EE-874D5AFA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3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03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0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D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1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6D4B37-9BCB-4BF0-A886-A5EC660FC031}" type="doc">
      <dgm:prSet loTypeId="urn:microsoft.com/office/officeart/2005/8/layout/vList5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EA43E72B-EB5D-48CD-BCEC-CC72EE61EB0E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Положительная инерция индустриализации</a:t>
          </a:r>
          <a:endParaRPr lang="ru-RU" sz="800"/>
        </a:p>
      </dgm:t>
    </dgm:pt>
    <dgm:pt modelId="{5786998A-B285-4EB2-B109-AE1888290152}" type="parTrans" cxnId="{97531026-2D0A-4EE8-B1B3-6005C2FA55E2}">
      <dgm:prSet/>
      <dgm:spPr/>
      <dgm:t>
        <a:bodyPr/>
        <a:lstStyle/>
        <a:p>
          <a:endParaRPr lang="ru-RU"/>
        </a:p>
      </dgm:t>
    </dgm:pt>
    <dgm:pt modelId="{95BEF082-2CA4-4764-B26E-A2B68ECC2BCA}" type="sibTrans" cxnId="{97531026-2D0A-4EE8-B1B3-6005C2FA55E2}">
      <dgm:prSet/>
      <dgm:spPr/>
      <dgm:t>
        <a:bodyPr/>
        <a:lstStyle/>
        <a:p>
          <a:endParaRPr lang="ru-RU"/>
        </a:p>
      </dgm:t>
    </dgm:pt>
    <dgm:pt modelId="{80F49B4E-9F96-4CC7-93F6-F6B4CBC8F5F7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Промышленная модернизация экономики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/>
        </a:p>
      </dgm:t>
    </dgm:pt>
    <dgm:pt modelId="{987FC7FE-D1BD-49C7-9C5B-65678229AA59}" type="parTrans" cxnId="{C5E38F08-76D8-493B-A059-CC10392BF4A6}">
      <dgm:prSet/>
      <dgm:spPr/>
      <dgm:t>
        <a:bodyPr/>
        <a:lstStyle/>
        <a:p>
          <a:endParaRPr lang="ru-RU"/>
        </a:p>
      </dgm:t>
    </dgm:pt>
    <dgm:pt modelId="{F1F81576-0069-4A5D-92E6-E13E12C7F8A7}" type="sibTrans" cxnId="{C5E38F08-76D8-493B-A059-CC10392BF4A6}">
      <dgm:prSet/>
      <dgm:spPr/>
      <dgm:t>
        <a:bodyPr/>
        <a:lstStyle/>
        <a:p>
          <a:endParaRPr lang="ru-RU"/>
        </a:p>
      </dgm:t>
    </dgm:pt>
    <dgm:pt modelId="{D31ADF5D-AF94-47B0-8264-A4309375FC65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Централизованное планирование</a:t>
          </a:r>
          <a:endParaRPr lang="ru-RU" sz="800"/>
        </a:p>
      </dgm:t>
    </dgm:pt>
    <dgm:pt modelId="{AE644602-A6CD-46BE-BEBE-65B9DE9558B1}" type="parTrans" cxnId="{10F00A3D-9C42-4A32-977C-220D87DB7C29}">
      <dgm:prSet/>
      <dgm:spPr/>
      <dgm:t>
        <a:bodyPr/>
        <a:lstStyle/>
        <a:p>
          <a:endParaRPr lang="ru-RU"/>
        </a:p>
      </dgm:t>
    </dgm:pt>
    <dgm:pt modelId="{9B5AFC43-42E6-4719-A6E9-C13C53D1339B}" type="sibTrans" cxnId="{10F00A3D-9C42-4A32-977C-220D87DB7C29}">
      <dgm:prSet/>
      <dgm:spPr/>
      <dgm:t>
        <a:bodyPr/>
        <a:lstStyle/>
        <a:p>
          <a:endParaRPr lang="ru-RU"/>
        </a:p>
      </dgm:t>
    </dgm:pt>
    <dgm:pt modelId="{FC8D1400-188F-43D7-835D-473E5F83C9B1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latin typeface="Times New Roman" panose="02020603050405020304" pitchFamily="18" charset="0"/>
              <a:cs typeface="Times New Roman" panose="02020603050405020304" pitchFamily="18" charset="0"/>
            </a:rPr>
            <a:t>Эвакуация промышленности в восточные регионы страны</a:t>
          </a:r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C7BB00-CC86-4EE2-B0FC-2746B8B0251D}" type="parTrans" cxnId="{E76890E3-A4C4-4A3C-850C-AFD35381038A}">
      <dgm:prSet/>
      <dgm:spPr/>
      <dgm:t>
        <a:bodyPr/>
        <a:lstStyle/>
        <a:p>
          <a:endParaRPr lang="ru-RU"/>
        </a:p>
      </dgm:t>
    </dgm:pt>
    <dgm:pt modelId="{8841E2A1-E16B-4364-99A7-37D7EFB5D967}" type="sibTrans" cxnId="{E76890E3-A4C4-4A3C-850C-AFD35381038A}">
      <dgm:prSet/>
      <dgm:spPr/>
      <dgm:t>
        <a:bodyPr/>
        <a:lstStyle/>
        <a:p>
          <a:endParaRPr lang="ru-RU"/>
        </a:p>
      </dgm:t>
    </dgm:pt>
    <dgm:pt modelId="{97BFCF11-1D37-4788-BD6A-4C097C7B8013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Географичекие масштабы и особенности СССР</a:t>
          </a:r>
          <a:endParaRPr lang="ru-RU" sz="800"/>
        </a:p>
      </dgm:t>
    </dgm:pt>
    <dgm:pt modelId="{88CA6457-049E-468E-A9C3-0211AFA3894C}" type="parTrans" cxnId="{A8C9AE89-CFE6-415A-A122-2D05AB1F35C2}">
      <dgm:prSet/>
      <dgm:spPr/>
      <dgm:t>
        <a:bodyPr/>
        <a:lstStyle/>
        <a:p>
          <a:endParaRPr lang="ru-RU"/>
        </a:p>
      </dgm:t>
    </dgm:pt>
    <dgm:pt modelId="{E0AE7F42-A523-4E78-A9B2-D5986AA798C2}" type="sibTrans" cxnId="{A8C9AE89-CFE6-415A-A122-2D05AB1F35C2}">
      <dgm:prSet/>
      <dgm:spPr/>
      <dgm:t>
        <a:bodyPr/>
        <a:lstStyle/>
        <a:p>
          <a:endParaRPr lang="ru-RU"/>
        </a:p>
      </dgm:t>
    </dgm:pt>
    <dgm:pt modelId="{F05EFD41-A367-4BF7-8AD0-1C0DD7EA075E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  <a:buNone/>
          </a:pPr>
          <a:endParaRPr lang="ru-RU" sz="800"/>
        </a:p>
      </dgm:t>
    </dgm:pt>
    <dgm:pt modelId="{ABD59457-07C1-4BE0-BD97-28F263BEF5E2}" type="parTrans" cxnId="{0F83B0EA-4D15-4104-9937-57EE0E64227F}">
      <dgm:prSet/>
      <dgm:spPr/>
      <dgm:t>
        <a:bodyPr/>
        <a:lstStyle/>
        <a:p>
          <a:endParaRPr lang="ru-RU"/>
        </a:p>
      </dgm:t>
    </dgm:pt>
    <dgm:pt modelId="{6286C79F-046D-4332-8CCD-5241020214B8}" type="sibTrans" cxnId="{0F83B0EA-4D15-4104-9937-57EE0E64227F}">
      <dgm:prSet/>
      <dgm:spPr/>
      <dgm:t>
        <a:bodyPr/>
        <a:lstStyle/>
        <a:p>
          <a:endParaRPr lang="ru-RU"/>
        </a:p>
      </dgm:t>
    </dgm:pt>
    <dgm:pt modelId="{8FAA1F33-028A-4F65-B6A5-6DADB09FEBD0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Самоотверженный труд населения в тылу</a:t>
          </a:r>
          <a:endParaRPr lang="ru-RU" sz="800"/>
        </a:p>
      </dgm:t>
    </dgm:pt>
    <dgm:pt modelId="{01E2A09D-AA25-4B04-A4FA-1EFF2E1CC5A6}" type="parTrans" cxnId="{F48C5491-D2EF-46EA-A6D8-7339B74861ED}">
      <dgm:prSet/>
      <dgm:spPr/>
      <dgm:t>
        <a:bodyPr/>
        <a:lstStyle/>
        <a:p>
          <a:endParaRPr lang="ru-RU"/>
        </a:p>
      </dgm:t>
    </dgm:pt>
    <dgm:pt modelId="{0659CCA5-13A0-4101-AAEE-21FB6674B1D8}" type="sibTrans" cxnId="{F48C5491-D2EF-46EA-A6D8-7339B74861ED}">
      <dgm:prSet/>
      <dgm:spPr/>
      <dgm:t>
        <a:bodyPr/>
        <a:lstStyle/>
        <a:p>
          <a:endParaRPr lang="ru-RU"/>
        </a:p>
      </dgm:t>
    </dgm:pt>
    <dgm:pt modelId="{12C22EE2-33F6-4C53-93D5-E916BDFE9090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endParaRPr lang="ru-RU" sz="800"/>
        </a:p>
      </dgm:t>
    </dgm:pt>
    <dgm:pt modelId="{E5ED10C1-9774-428E-848E-939B0865A50D}" type="parTrans" cxnId="{3C42B485-A626-4555-B1D2-E7175C04392B}">
      <dgm:prSet/>
      <dgm:spPr/>
      <dgm:t>
        <a:bodyPr/>
        <a:lstStyle/>
        <a:p>
          <a:endParaRPr lang="ru-RU"/>
        </a:p>
      </dgm:t>
    </dgm:pt>
    <dgm:pt modelId="{E85288AE-3125-4BFA-97F4-69B680051ED0}" type="sibTrans" cxnId="{3C42B485-A626-4555-B1D2-E7175C04392B}">
      <dgm:prSet/>
      <dgm:spPr/>
      <dgm:t>
        <a:bodyPr/>
        <a:lstStyle/>
        <a:p>
          <a:endParaRPr lang="ru-RU"/>
        </a:p>
      </dgm:t>
    </dgm:pt>
    <dgm:pt modelId="{CA9CD165-5730-4D38-81BB-3F6E91BB59B5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участие населения в пополнении бюджета</a:t>
          </a:r>
          <a:endParaRPr lang="ru-RU" sz="800"/>
        </a:p>
      </dgm:t>
    </dgm:pt>
    <dgm:pt modelId="{B9E361B4-24CC-4626-BABB-780E2E857B9A}" type="parTrans" cxnId="{E5F13B1D-3DF1-4EAE-A5AD-18E63FB52926}">
      <dgm:prSet/>
      <dgm:spPr/>
      <dgm:t>
        <a:bodyPr/>
        <a:lstStyle/>
        <a:p>
          <a:endParaRPr lang="ru-RU"/>
        </a:p>
      </dgm:t>
    </dgm:pt>
    <dgm:pt modelId="{80C881DD-B355-4F75-89BD-6E90D99EC1FB}" type="sibTrans" cxnId="{E5F13B1D-3DF1-4EAE-A5AD-18E63FB52926}">
      <dgm:prSet/>
      <dgm:spPr/>
      <dgm:t>
        <a:bodyPr/>
        <a:lstStyle/>
        <a:p>
          <a:endParaRPr lang="ru-RU"/>
        </a:p>
      </dgm:t>
    </dgm:pt>
    <dgm:pt modelId="{35634B40-3631-477E-AF13-68FA1801CC85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endParaRPr lang="ru-RU" sz="800"/>
        </a:p>
      </dgm:t>
    </dgm:pt>
    <dgm:pt modelId="{48BFCE0D-54D1-463E-A449-0B3FB8418D4A}" type="parTrans" cxnId="{A6CBE73F-913B-48B6-A32C-E8ECDFE4CCCA}">
      <dgm:prSet/>
      <dgm:spPr/>
      <dgm:t>
        <a:bodyPr/>
        <a:lstStyle/>
        <a:p>
          <a:endParaRPr lang="ru-RU"/>
        </a:p>
      </dgm:t>
    </dgm:pt>
    <dgm:pt modelId="{132A1C12-7AC8-4AF4-B44C-CF4CA18612CB}" type="sibTrans" cxnId="{A6CBE73F-913B-48B6-A32C-E8ECDFE4CCCA}">
      <dgm:prSet/>
      <dgm:spPr/>
      <dgm:t>
        <a:bodyPr/>
        <a:lstStyle/>
        <a:p>
          <a:endParaRPr lang="ru-RU"/>
        </a:p>
      </dgm:t>
    </dgm:pt>
    <dgm:pt modelId="{7EFDEFED-4C06-476C-8A6C-4E13BDACBFBD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Программа ленд-лиз</a:t>
          </a:r>
          <a:endParaRPr lang="ru-RU" sz="800"/>
        </a:p>
      </dgm:t>
    </dgm:pt>
    <dgm:pt modelId="{62A572F5-0C2A-4443-829E-AFA017B5CB19}" type="parTrans" cxnId="{C68477B1-C278-4809-A67C-0C55A5BE4091}">
      <dgm:prSet/>
      <dgm:spPr/>
      <dgm:t>
        <a:bodyPr/>
        <a:lstStyle/>
        <a:p>
          <a:endParaRPr lang="ru-RU"/>
        </a:p>
      </dgm:t>
    </dgm:pt>
    <dgm:pt modelId="{EA6D8A4C-EA45-4370-BD60-283CD4294C56}" type="sibTrans" cxnId="{C68477B1-C278-4809-A67C-0C55A5BE4091}">
      <dgm:prSet/>
      <dgm:spPr/>
      <dgm:t>
        <a:bodyPr/>
        <a:lstStyle/>
        <a:p>
          <a:endParaRPr lang="ru-RU"/>
        </a:p>
      </dgm:t>
    </dgm:pt>
    <dgm:pt modelId="{058FEBBA-9075-4528-8872-D9BAFA9BC2AC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и материальная помощь США, предоставленная СССР во время ВОВ на возвратной основе.</a:t>
          </a:r>
          <a:endParaRPr lang="ru-RU" sz="800"/>
        </a:p>
      </dgm:t>
    </dgm:pt>
    <dgm:pt modelId="{C6988B76-F96E-4286-B7E2-7D5C05E93B91}" type="parTrans" cxnId="{60077B71-1CF7-4C11-8D0B-33FF73F0FB80}">
      <dgm:prSet/>
      <dgm:spPr/>
      <dgm:t>
        <a:bodyPr/>
        <a:lstStyle/>
        <a:p>
          <a:endParaRPr lang="ru-RU"/>
        </a:p>
      </dgm:t>
    </dgm:pt>
    <dgm:pt modelId="{57A791A1-A2A8-473E-97F1-8C41102CD578}" type="sibTrans" cxnId="{60077B71-1CF7-4C11-8D0B-33FF73F0FB80}">
      <dgm:prSet/>
      <dgm:spPr/>
      <dgm:t>
        <a:bodyPr/>
        <a:lstStyle/>
        <a:p>
          <a:endParaRPr lang="ru-RU"/>
        </a:p>
      </dgm:t>
    </dgm:pt>
    <dgm:pt modelId="{51BB05FB-54B6-43A7-A997-A1BC7545FB5A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Цивилизационный скачок в образовании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DD2820-CE47-4894-A56A-5EB2855E2D27}" type="parTrans" cxnId="{40198AF7-01F3-4955-94D3-99F495BC2596}">
      <dgm:prSet/>
      <dgm:spPr/>
      <dgm:t>
        <a:bodyPr/>
        <a:lstStyle/>
        <a:p>
          <a:endParaRPr lang="ru-RU"/>
        </a:p>
      </dgm:t>
    </dgm:pt>
    <dgm:pt modelId="{8050EB85-6183-46DA-B425-287E48569261}" type="sibTrans" cxnId="{40198AF7-01F3-4955-94D3-99F495BC2596}">
      <dgm:prSet/>
      <dgm:spPr/>
      <dgm:t>
        <a:bodyPr/>
        <a:lstStyle/>
        <a:p>
          <a:endParaRPr lang="ru-RU"/>
        </a:p>
      </dgm:t>
    </dgm:pt>
    <dgm:pt modelId="{2A1C44FA-0292-43AA-AC16-D3CAAB65014F}">
      <dgm:prSet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садиков, яслей, с целью вовлечения женщин в трудовой процесс.</a:t>
          </a:r>
        </a:p>
      </dgm:t>
    </dgm:pt>
    <dgm:pt modelId="{378C5F95-0168-49D0-9E14-63C82A60BC57}" type="parTrans" cxnId="{E8BB4B12-FB5B-4F5D-9CE9-91A8A007968D}">
      <dgm:prSet/>
      <dgm:spPr/>
      <dgm:t>
        <a:bodyPr/>
        <a:lstStyle/>
        <a:p>
          <a:endParaRPr lang="ru-RU"/>
        </a:p>
      </dgm:t>
    </dgm:pt>
    <dgm:pt modelId="{F53F05D5-748A-42BC-8425-4AD4B2C19AB7}" type="sibTrans" cxnId="{E8BB4B12-FB5B-4F5D-9CE9-91A8A007968D}">
      <dgm:prSet/>
      <dgm:spPr/>
      <dgm:t>
        <a:bodyPr/>
        <a:lstStyle/>
        <a:p>
          <a:endParaRPr lang="ru-RU"/>
        </a:p>
      </dgm:t>
    </dgm:pt>
    <dgm:pt modelId="{1BCB1B4A-08EF-6649-9FEE-DE0473E6A634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Решение вопросов территориального расположения эвакуированных предприятий и монтажа на местах новой дислокации, снабжения их кадрами.</a:t>
          </a:r>
          <a:endParaRPr lang="ru-RU" sz="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5F3327-E019-CD49-AC7B-DB4B1A68EDF9}" type="parTrans" cxnId="{B1081C62-A2DD-8143-AA38-40AAA2FEDD2D}">
      <dgm:prSet/>
      <dgm:spPr/>
      <dgm:t>
        <a:bodyPr/>
        <a:lstStyle/>
        <a:p>
          <a:endParaRPr lang="ru-RU"/>
        </a:p>
      </dgm:t>
    </dgm:pt>
    <dgm:pt modelId="{D3AD0E11-89B2-F44D-B6B1-93244545261C}" type="sibTrans" cxnId="{B1081C62-A2DD-8143-AA38-40AAA2FEDD2D}">
      <dgm:prSet/>
      <dgm:spPr/>
      <dgm:t>
        <a:bodyPr/>
        <a:lstStyle/>
        <a:p>
          <a:endParaRPr lang="ru-RU"/>
        </a:p>
      </dgm:t>
    </dgm:pt>
    <dgm:pt modelId="{043906D8-04DA-AE48-83FB-9EE9F9B1B399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  <a:buNone/>
          </a:pPr>
          <a:endParaRPr lang="ru-RU" sz="800"/>
        </a:p>
      </dgm:t>
    </dgm:pt>
    <dgm:pt modelId="{1EDB37D7-45D8-8047-936C-D072D4D0BB61}" type="parTrans" cxnId="{CD07341E-364E-7E4B-96E5-7A83FCC79348}">
      <dgm:prSet/>
      <dgm:spPr/>
      <dgm:t>
        <a:bodyPr/>
        <a:lstStyle/>
        <a:p>
          <a:endParaRPr lang="ru-RU"/>
        </a:p>
      </dgm:t>
    </dgm:pt>
    <dgm:pt modelId="{5840213C-C7CD-864C-9D3A-A24BACE4267B}" type="sibTrans" cxnId="{CD07341E-364E-7E4B-96E5-7A83FCC79348}">
      <dgm:prSet/>
      <dgm:spPr/>
      <dgm:t>
        <a:bodyPr/>
        <a:lstStyle/>
        <a:p>
          <a:endParaRPr lang="ru-RU"/>
        </a:p>
      </dgm:t>
    </dgm:pt>
    <dgm:pt modelId="{A4D34863-8A0E-5C45-AAA1-CF47B9CD04E8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Добыча полезных ископаемых на обширных территориях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/>
        </a:p>
      </dgm:t>
    </dgm:pt>
    <dgm:pt modelId="{89DEE1A9-841A-7942-941F-F7BC43B5D252}" type="parTrans" cxnId="{EE1F8D3C-9262-FB44-A1B4-F2DFFEE5222D}">
      <dgm:prSet/>
      <dgm:spPr/>
      <dgm:t>
        <a:bodyPr/>
        <a:lstStyle/>
        <a:p>
          <a:endParaRPr lang="ru-RU"/>
        </a:p>
      </dgm:t>
    </dgm:pt>
    <dgm:pt modelId="{3FECDFFF-A58D-CB48-B97D-ECA5CDDE4328}" type="sibTrans" cxnId="{EE1F8D3C-9262-FB44-A1B4-F2DFFEE5222D}">
      <dgm:prSet/>
      <dgm:spPr/>
      <dgm:t>
        <a:bodyPr/>
        <a:lstStyle/>
        <a:p>
          <a:endParaRPr lang="ru-RU"/>
        </a:p>
      </dgm:t>
    </dgm:pt>
    <dgm:pt modelId="{F9E78B2E-FE67-FF40-90B2-430B1BD15702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оборонительных сооружений;</a:t>
          </a:r>
        </a:p>
      </dgm:t>
    </dgm:pt>
    <dgm:pt modelId="{3F6F4F96-91A0-A34E-9D9B-C45729659720}" type="parTrans" cxnId="{8E9FB216-0B9E-AD4B-94F8-27A08AA2251D}">
      <dgm:prSet/>
      <dgm:spPr/>
      <dgm:t>
        <a:bodyPr/>
        <a:lstStyle/>
        <a:p>
          <a:endParaRPr lang="ru-RU"/>
        </a:p>
      </dgm:t>
    </dgm:pt>
    <dgm:pt modelId="{41E9CE5B-7DC6-D14F-87D2-C210DBE7AC0A}" type="sibTrans" cxnId="{8E9FB216-0B9E-AD4B-94F8-27A08AA2251D}">
      <dgm:prSet/>
      <dgm:spPr/>
      <dgm:t>
        <a:bodyPr/>
        <a:lstStyle/>
        <a:p>
          <a:endParaRPr lang="ru-RU"/>
        </a:p>
      </dgm:t>
    </dgm:pt>
    <dgm:pt modelId="{03E56F40-DA00-EA42-8557-8ABED6A6E5D1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1AE252-FC73-5A4F-975A-939E1D336D93}" type="parTrans" cxnId="{6C10DE84-1B2D-ED49-9A45-E4D60E5AA7FE}">
      <dgm:prSet/>
      <dgm:spPr/>
      <dgm:t>
        <a:bodyPr/>
        <a:lstStyle/>
        <a:p>
          <a:endParaRPr lang="ru-RU"/>
        </a:p>
      </dgm:t>
    </dgm:pt>
    <dgm:pt modelId="{4D690C71-EA55-194D-8F7A-605007C7F1CE}" type="sibTrans" cxnId="{6C10DE84-1B2D-ED49-9A45-E4D60E5AA7FE}">
      <dgm:prSet/>
      <dgm:spPr/>
      <dgm:t>
        <a:bodyPr/>
        <a:lstStyle/>
        <a:p>
          <a:endParaRPr lang="ru-RU"/>
        </a:p>
      </dgm:t>
    </dgm:pt>
    <dgm:pt modelId="{CDD4E00D-AF7A-344E-91B4-C36B541A754D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Восстановление эвакуированных заводов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7D9AE2-E4F0-FC4B-807B-9ED48200E3C8}" type="parTrans" cxnId="{D178F4F6-5748-2D41-ABAC-ACAC0BCEE506}">
      <dgm:prSet/>
      <dgm:spPr/>
      <dgm:t>
        <a:bodyPr/>
        <a:lstStyle/>
        <a:p>
          <a:endParaRPr lang="ru-RU"/>
        </a:p>
      </dgm:t>
    </dgm:pt>
    <dgm:pt modelId="{CB0E4680-429E-B743-9C3D-660D53C9ADC2}" type="sibTrans" cxnId="{D178F4F6-5748-2D41-ABAC-ACAC0BCEE506}">
      <dgm:prSet/>
      <dgm:spPr/>
      <dgm:t>
        <a:bodyPr/>
        <a:lstStyle/>
        <a:p>
          <a:endParaRPr lang="ru-RU"/>
        </a:p>
      </dgm:t>
    </dgm:pt>
    <dgm:pt modelId="{1D35DBCC-E2F1-1543-93AF-396E10371C85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железных дорог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F8722F-EA9E-884C-9992-318B78CD9D21}" type="parTrans" cxnId="{62318F60-69ED-524E-B293-23FD76694C88}">
      <dgm:prSet/>
      <dgm:spPr/>
      <dgm:t>
        <a:bodyPr/>
        <a:lstStyle/>
        <a:p>
          <a:endParaRPr lang="ru-RU"/>
        </a:p>
      </dgm:t>
    </dgm:pt>
    <dgm:pt modelId="{C3C4B543-206C-BF4E-AE37-8D1C70C37990}" type="sibTrans" cxnId="{62318F60-69ED-524E-B293-23FD76694C88}">
      <dgm:prSet/>
      <dgm:spPr/>
      <dgm:t>
        <a:bodyPr/>
        <a:lstStyle/>
        <a:p>
          <a:endParaRPr lang="ru-RU"/>
        </a:p>
      </dgm:t>
    </dgm:pt>
    <dgm:pt modelId="{BDD82CCB-783F-3B43-A2DC-FF6A48093A92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Приобретение билетов государственного займа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7C38E7-ABDD-2740-8834-6E696499B0E9}" type="parTrans" cxnId="{C05B6ECC-9783-D748-8EE1-A70D028439AE}">
      <dgm:prSet/>
      <dgm:spPr/>
      <dgm:t>
        <a:bodyPr/>
        <a:lstStyle/>
        <a:p>
          <a:endParaRPr lang="ru-RU"/>
        </a:p>
      </dgm:t>
    </dgm:pt>
    <dgm:pt modelId="{E028CC74-4A5A-8647-8828-5064B19B04EC}" type="sibTrans" cxnId="{C05B6ECC-9783-D748-8EE1-A70D028439AE}">
      <dgm:prSet/>
      <dgm:spPr/>
      <dgm:t>
        <a:bodyPr/>
        <a:lstStyle/>
        <a:p>
          <a:endParaRPr lang="ru-RU"/>
        </a:p>
      </dgm:t>
    </dgm:pt>
    <dgm:pt modelId="{E9DE3A66-32A4-FA40-8C69-215E5E39DE19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88BF5B-3709-814C-B385-D0F06C9280D1}" type="parTrans" cxnId="{29670730-C563-AB47-A9C3-6D17CB867498}">
      <dgm:prSet/>
      <dgm:spPr/>
      <dgm:t>
        <a:bodyPr/>
        <a:lstStyle/>
        <a:p>
          <a:endParaRPr lang="ru-RU"/>
        </a:p>
      </dgm:t>
    </dgm:pt>
    <dgm:pt modelId="{5416664D-B70D-3F43-8823-6C6FF9DD5BF6}" type="sibTrans" cxnId="{29670730-C563-AB47-A9C3-6D17CB867498}">
      <dgm:prSet/>
      <dgm:spPr/>
      <dgm:t>
        <a:bodyPr/>
        <a:lstStyle/>
        <a:p>
          <a:endParaRPr lang="ru-RU"/>
        </a:p>
      </dgm:t>
    </dgm:pt>
    <dgm:pt modelId="{163E9085-B51D-4A45-96C9-010F74319FE0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Пожертвования Православной церкви.</a:t>
          </a:r>
        </a:p>
      </dgm:t>
    </dgm:pt>
    <dgm:pt modelId="{3FA8CA6D-9523-C44B-BA1A-FE3B7EA9A20B}" type="parTrans" cxnId="{0E395618-0E94-494A-99C7-D59EF8591E0C}">
      <dgm:prSet/>
      <dgm:spPr/>
      <dgm:t>
        <a:bodyPr/>
        <a:lstStyle/>
        <a:p>
          <a:endParaRPr lang="ru-RU"/>
        </a:p>
      </dgm:t>
    </dgm:pt>
    <dgm:pt modelId="{D25BE3A3-1B78-E846-BE31-E8CDF02B2785}" type="sibTrans" cxnId="{0E395618-0E94-494A-99C7-D59EF8591E0C}">
      <dgm:prSet/>
      <dgm:spPr/>
      <dgm:t>
        <a:bodyPr/>
        <a:lstStyle/>
        <a:p>
          <a:endParaRPr lang="ru-RU"/>
        </a:p>
      </dgm:t>
    </dgm:pt>
    <dgm:pt modelId="{C5542386-FBBB-6B46-813E-0DF28927637D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промышленных предприятий в азиатской части СССР в начале 30-х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800"/>
        </a:p>
      </dgm:t>
    </dgm:pt>
    <dgm:pt modelId="{7A514588-C5E3-914C-884C-55E7C3AAD3ED}" type="parTrans" cxnId="{5A0AF9D7-1319-034B-A2B1-C14F1A70242D}">
      <dgm:prSet/>
      <dgm:spPr/>
      <dgm:t>
        <a:bodyPr/>
        <a:lstStyle/>
        <a:p>
          <a:endParaRPr lang="ru-RU"/>
        </a:p>
      </dgm:t>
    </dgm:pt>
    <dgm:pt modelId="{CD80FEF6-52F1-9D46-967D-6E67C9EC3922}" type="sibTrans" cxnId="{5A0AF9D7-1319-034B-A2B1-C14F1A70242D}">
      <dgm:prSet/>
      <dgm:spPr/>
      <dgm:t>
        <a:bodyPr/>
        <a:lstStyle/>
        <a:p>
          <a:endParaRPr lang="ru-RU"/>
        </a:p>
      </dgm:t>
    </dgm:pt>
    <dgm:pt modelId="{6CC40230-CBC2-CA4D-AB8C-0CA91D3CBC82}">
      <dgm:prSet custT="1"/>
      <dgm:spPr/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Денежные и материальные пожертвования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E7D824-5C95-0F46-BB75-719402FC0BE1}" type="parTrans" cxnId="{E47F6780-1BB6-F444-85BF-A043D2C4079D}">
      <dgm:prSet/>
      <dgm:spPr/>
      <dgm:t>
        <a:bodyPr/>
        <a:lstStyle/>
        <a:p>
          <a:endParaRPr lang="ru-RU"/>
        </a:p>
      </dgm:t>
    </dgm:pt>
    <dgm:pt modelId="{83C664E7-E41F-F84C-B042-90665952762E}" type="sibTrans" cxnId="{E47F6780-1BB6-F444-85BF-A043D2C4079D}">
      <dgm:prSet/>
      <dgm:spPr/>
      <dgm:t>
        <a:bodyPr/>
        <a:lstStyle/>
        <a:p>
          <a:endParaRPr lang="ru-RU"/>
        </a:p>
      </dgm:t>
    </dgm:pt>
    <dgm:pt modelId="{ADD84AA7-B411-BB43-A580-42AFA214B85B}">
      <dgm:prSet phldrT="[Текст]" custT="1"/>
      <dgm:spPr>
        <a:ln w="8890"/>
      </dgm:spPr>
      <dgm:t>
        <a:bodyPr/>
        <a:lstStyle/>
        <a:p>
          <a:pPr>
            <a:lnSpc>
              <a:spcPct val="80000"/>
            </a:lnSpc>
            <a:spcAft>
              <a:spcPts val="0"/>
            </a:spcAft>
          </a:pPr>
          <a:r>
            <a:rPr lang="ru-RU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Мобилизация населения, проживающего на значительных территориях</a:t>
          </a:r>
          <a:r>
            <a:rPr lang="en-US"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/>
        </a:p>
      </dgm:t>
    </dgm:pt>
    <dgm:pt modelId="{0F302CE0-6783-AF46-A3C3-FF2AA3C3BAAA}" type="parTrans" cxnId="{ABA10790-6B43-B245-B24E-15363817D241}">
      <dgm:prSet/>
      <dgm:spPr/>
      <dgm:t>
        <a:bodyPr/>
        <a:lstStyle/>
        <a:p>
          <a:endParaRPr lang="ru-RU"/>
        </a:p>
      </dgm:t>
    </dgm:pt>
    <dgm:pt modelId="{E3263BB1-A4A3-B144-A438-F05A355F0CEC}" type="sibTrans" cxnId="{ABA10790-6B43-B245-B24E-15363817D241}">
      <dgm:prSet/>
      <dgm:spPr/>
      <dgm:t>
        <a:bodyPr/>
        <a:lstStyle/>
        <a:p>
          <a:endParaRPr lang="ru-RU"/>
        </a:p>
      </dgm:t>
    </dgm:pt>
    <dgm:pt modelId="{0E710E3C-7AAC-41AA-8985-56FF27D6F1D3}" type="pres">
      <dgm:prSet presAssocID="{D16D4B37-9BCB-4BF0-A886-A5EC660FC03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9435684-C249-4F49-BE4A-0ABA30F86865}" type="pres">
      <dgm:prSet presAssocID="{EA43E72B-EB5D-48CD-BCEC-CC72EE61EB0E}" presName="linNode" presStyleCnt="0"/>
      <dgm:spPr/>
    </dgm:pt>
    <dgm:pt modelId="{09A9A8D2-0F98-4843-B164-1B4EC5322AF3}" type="pres">
      <dgm:prSet presAssocID="{EA43E72B-EB5D-48CD-BCEC-CC72EE61EB0E}" presName="parentText" presStyleLbl="node1" presStyleIdx="0" presStyleCnt="6" custScaleY="6209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714FD8-CFDD-4D1F-AE37-E118428A464C}" type="pres">
      <dgm:prSet presAssocID="{EA43E72B-EB5D-48CD-BCEC-CC72EE61EB0E}" presName="descendantText" presStyleLbl="alignAccFollowNode1" presStyleIdx="0" presStyleCnt="6" custScaleX="146410" custScaleY="620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7422D0-E31A-43B1-BF19-53369A476E0F}" type="pres">
      <dgm:prSet presAssocID="{95BEF082-2CA4-4764-B26E-A2B68ECC2BCA}" presName="sp" presStyleCnt="0"/>
      <dgm:spPr/>
    </dgm:pt>
    <dgm:pt modelId="{853E8A87-1BCB-4F12-9018-3BA94D479A0A}" type="pres">
      <dgm:prSet presAssocID="{D31ADF5D-AF94-47B0-8264-A4309375FC65}" presName="linNode" presStyleCnt="0"/>
      <dgm:spPr/>
    </dgm:pt>
    <dgm:pt modelId="{060A059D-02BB-4AF4-B34E-8C05EB2995FB}" type="pres">
      <dgm:prSet presAssocID="{D31ADF5D-AF94-47B0-8264-A4309375FC65}" presName="parentText" presStyleLbl="node1" presStyleIdx="1" presStyleCnt="6" custScaleY="6209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FD73A4-0466-4BB3-85AD-1338078BB87A}" type="pres">
      <dgm:prSet presAssocID="{D31ADF5D-AF94-47B0-8264-A4309375FC65}" presName="descendantText" presStyleLbl="alignAccFollowNode1" presStyleIdx="1" presStyleCnt="6" custScaleX="146410" custScaleY="620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38C9AE-37AF-4115-A8AE-315F95E80FA1}" type="pres">
      <dgm:prSet presAssocID="{9B5AFC43-42E6-4719-A6E9-C13C53D1339B}" presName="sp" presStyleCnt="0"/>
      <dgm:spPr/>
    </dgm:pt>
    <dgm:pt modelId="{3A0EBCA7-1962-4E6A-A988-8982C3FE28B8}" type="pres">
      <dgm:prSet presAssocID="{97BFCF11-1D37-4788-BD6A-4C097C7B8013}" presName="linNode" presStyleCnt="0"/>
      <dgm:spPr/>
    </dgm:pt>
    <dgm:pt modelId="{767360D4-AF53-4BB7-AFBD-8E825B0FFDAD}" type="pres">
      <dgm:prSet presAssocID="{97BFCF11-1D37-4788-BD6A-4C097C7B8013}" presName="parentText" presStyleLbl="node1" presStyleIdx="2" presStyleCnt="6" custScaleY="6209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52D56E-E134-4BFD-B948-764F11538B6C}" type="pres">
      <dgm:prSet presAssocID="{97BFCF11-1D37-4788-BD6A-4C097C7B8013}" presName="descendantText" presStyleLbl="alignAccFollowNode1" presStyleIdx="2" presStyleCnt="6" custScaleX="146410" custScaleY="620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060D7D-A30E-4CDA-BFD5-8E05105177F2}" type="pres">
      <dgm:prSet presAssocID="{E0AE7F42-A523-4E78-A9B2-D5986AA798C2}" presName="sp" presStyleCnt="0"/>
      <dgm:spPr/>
    </dgm:pt>
    <dgm:pt modelId="{CB859223-0C0C-4E02-B20B-9B8E3FD3EC0E}" type="pres">
      <dgm:prSet presAssocID="{8FAA1F33-028A-4F65-B6A5-6DADB09FEBD0}" presName="linNode" presStyleCnt="0"/>
      <dgm:spPr/>
    </dgm:pt>
    <dgm:pt modelId="{68B3C3F6-5A75-43CF-B55B-A1158D1B66A0}" type="pres">
      <dgm:prSet presAssocID="{8FAA1F33-028A-4F65-B6A5-6DADB09FEBD0}" presName="parentText" presStyleLbl="node1" presStyleIdx="3" presStyleCnt="6" custScaleY="6209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BC08E6-9704-444C-A4ED-DE3AFFEC0767}" type="pres">
      <dgm:prSet presAssocID="{8FAA1F33-028A-4F65-B6A5-6DADB09FEBD0}" presName="descendantText" presStyleLbl="alignAccFollowNode1" presStyleIdx="3" presStyleCnt="6" custScaleX="146410" custScaleY="620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789FD2-0B14-473A-BBA2-7210E0591D31}" type="pres">
      <dgm:prSet presAssocID="{0659CCA5-13A0-4101-AAEE-21FB6674B1D8}" presName="sp" presStyleCnt="0"/>
      <dgm:spPr/>
    </dgm:pt>
    <dgm:pt modelId="{0C5947CE-D271-42AB-B397-4BB18A3D21AB}" type="pres">
      <dgm:prSet presAssocID="{CA9CD165-5730-4D38-81BB-3F6E91BB59B5}" presName="linNode" presStyleCnt="0"/>
      <dgm:spPr/>
    </dgm:pt>
    <dgm:pt modelId="{E1403A46-C023-4CA1-88F2-114DFF6B60BE}" type="pres">
      <dgm:prSet presAssocID="{CA9CD165-5730-4D38-81BB-3F6E91BB59B5}" presName="parentText" presStyleLbl="node1" presStyleIdx="4" presStyleCnt="6" custScaleY="5644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0DC607-7E96-4DC5-A809-BCDB5997B5DE}" type="pres">
      <dgm:prSet presAssocID="{CA9CD165-5730-4D38-81BB-3F6E91BB59B5}" presName="descendantText" presStyleLbl="alignAccFollowNode1" presStyleIdx="4" presStyleCnt="6" custScaleX="146410" custScaleY="56448" custLinFactNeighborX="163" custLinFactNeighborY="21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2395FE-85DF-4A6F-B8CF-75E38CDD56EA}" type="pres">
      <dgm:prSet presAssocID="{80C881DD-B355-4F75-89BD-6E90D99EC1FB}" presName="sp" presStyleCnt="0"/>
      <dgm:spPr/>
    </dgm:pt>
    <dgm:pt modelId="{0A9A1C83-F3F6-4AFC-8267-94745FE98139}" type="pres">
      <dgm:prSet presAssocID="{7EFDEFED-4C06-476C-8A6C-4E13BDACBFBD}" presName="linNode" presStyleCnt="0"/>
      <dgm:spPr/>
    </dgm:pt>
    <dgm:pt modelId="{A005F728-BFA2-487B-8351-1F4111941038}" type="pres">
      <dgm:prSet presAssocID="{7EFDEFED-4C06-476C-8A6C-4E13BDACBFBD}" presName="parentText" presStyleLbl="node1" presStyleIdx="5" presStyleCnt="6" custScaleY="5131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6AF25A-5108-489B-AF40-4A51D3469896}" type="pres">
      <dgm:prSet presAssocID="{7EFDEFED-4C06-476C-8A6C-4E13BDACBFBD}" presName="descendantText" presStyleLbl="alignAccFollowNode1" presStyleIdx="5" presStyleCnt="6" custScaleX="146410" custScaleY="513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2318F60-69ED-524E-B293-23FD76694C88}" srcId="{8FAA1F33-028A-4F65-B6A5-6DADB09FEBD0}" destId="{1D35DBCC-E2F1-1543-93AF-396E10371C85}" srcOrd="3" destOrd="0" parTransId="{52F8722F-EA9E-884C-9992-318B78CD9D21}" sibTransId="{C3C4B543-206C-BF4E-AE37-8D1C70C37990}"/>
    <dgm:cxn modelId="{E8C0DE1B-1BAA-4541-BF8F-0A0ACB66ED53}" type="presOf" srcId="{8FAA1F33-028A-4F65-B6A5-6DADB09FEBD0}" destId="{68B3C3F6-5A75-43CF-B55B-A1158D1B66A0}" srcOrd="0" destOrd="0" presId="urn:microsoft.com/office/officeart/2005/8/layout/vList5"/>
    <dgm:cxn modelId="{E1BFEDCB-DA8E-47A9-AA94-56D5D7545001}" type="presOf" srcId="{043906D8-04DA-AE48-83FB-9EE9F9B1B399}" destId="{9352D56E-E134-4BFD-B948-764F11538B6C}" srcOrd="0" destOrd="4" presId="urn:microsoft.com/office/officeart/2005/8/layout/vList5"/>
    <dgm:cxn modelId="{8E9FB216-0B9E-AD4B-94F8-27A08AA2251D}" srcId="{8FAA1F33-028A-4F65-B6A5-6DADB09FEBD0}" destId="{F9E78B2E-FE67-FF40-90B2-430B1BD15702}" srcOrd="1" destOrd="0" parTransId="{3F6F4F96-91A0-A34E-9D9B-C45729659720}" sibTransId="{41E9CE5B-7DC6-D14F-87D2-C210DBE7AC0A}"/>
    <dgm:cxn modelId="{B1081C62-A2DD-8143-AA38-40AAA2FEDD2D}" srcId="{D31ADF5D-AF94-47B0-8264-A4309375FC65}" destId="{1BCB1B4A-08EF-6649-9FEE-DE0473E6A634}" srcOrd="1" destOrd="0" parTransId="{755F3327-E019-CD49-AC7B-DB4B1A68EDF9}" sibTransId="{D3AD0E11-89B2-F44D-B6B1-93244545261C}"/>
    <dgm:cxn modelId="{5A0AF9D7-1319-034B-A2B1-C14F1A70242D}" srcId="{97BFCF11-1D37-4788-BD6A-4C097C7B8013}" destId="{C5542386-FBBB-6B46-813E-0DF28927637D}" srcOrd="3" destOrd="0" parTransId="{7A514588-C5E3-914C-884C-55E7C3AAD3ED}" sibTransId="{CD80FEF6-52F1-9D46-967D-6E67C9EC3922}"/>
    <dgm:cxn modelId="{E8BB4B12-FB5B-4F5D-9CE9-91A8A007968D}" srcId="{EA43E72B-EB5D-48CD-BCEC-CC72EE61EB0E}" destId="{2A1C44FA-0292-43AA-AC16-D3CAAB65014F}" srcOrd="2" destOrd="0" parTransId="{378C5F95-0168-49D0-9E14-63C82A60BC57}" sibTransId="{F53F05D5-748A-42BC-8425-4AD4B2C19AB7}"/>
    <dgm:cxn modelId="{29670730-C563-AB47-A9C3-6D17CB867498}" srcId="{CA9CD165-5730-4D38-81BB-3F6E91BB59B5}" destId="{E9DE3A66-32A4-FA40-8C69-215E5E39DE19}" srcOrd="4" destOrd="0" parTransId="{A288BF5B-3709-814C-B385-D0F06C9280D1}" sibTransId="{5416664D-B70D-3F43-8823-6C6FF9DD5BF6}"/>
    <dgm:cxn modelId="{F84285A9-F447-467F-8A10-1D9EC4E93FA1}" type="presOf" srcId="{CA9CD165-5730-4D38-81BB-3F6E91BB59B5}" destId="{E1403A46-C023-4CA1-88F2-114DFF6B60BE}" srcOrd="0" destOrd="0" presId="urn:microsoft.com/office/officeart/2005/8/layout/vList5"/>
    <dgm:cxn modelId="{EE1F8D3C-9262-FB44-A1B4-F2DFFEE5222D}" srcId="{97BFCF11-1D37-4788-BD6A-4C097C7B8013}" destId="{A4D34863-8A0E-5C45-AAA1-CF47B9CD04E8}" srcOrd="1" destOrd="0" parTransId="{89DEE1A9-841A-7942-941F-F7BC43B5D252}" sibTransId="{3FECDFFF-A58D-CB48-B97D-ECA5CDDE4328}"/>
    <dgm:cxn modelId="{CD07341E-364E-7E4B-96E5-7A83FCC79348}" srcId="{97BFCF11-1D37-4788-BD6A-4C097C7B8013}" destId="{043906D8-04DA-AE48-83FB-9EE9F9B1B399}" srcOrd="4" destOrd="0" parTransId="{1EDB37D7-45D8-8047-936C-D072D4D0BB61}" sibTransId="{5840213C-C7CD-864C-9D3A-A24BACE4267B}"/>
    <dgm:cxn modelId="{89D12435-9B76-4B43-A3CE-9851247A41DC}" type="presOf" srcId="{058FEBBA-9075-4528-8872-D9BAFA9BC2AC}" destId="{496AF25A-5108-489B-AF40-4A51D3469896}" srcOrd="0" destOrd="0" presId="urn:microsoft.com/office/officeart/2005/8/layout/vList5"/>
    <dgm:cxn modelId="{8C0B6A79-FA75-4AD3-815E-7092AAE591F1}" type="presOf" srcId="{EA43E72B-EB5D-48CD-BCEC-CC72EE61EB0E}" destId="{09A9A8D2-0F98-4843-B164-1B4EC5322AF3}" srcOrd="0" destOrd="0" presId="urn:microsoft.com/office/officeart/2005/8/layout/vList5"/>
    <dgm:cxn modelId="{0E395618-0E94-494A-99C7-D59EF8591E0C}" srcId="{CA9CD165-5730-4D38-81BB-3F6E91BB59B5}" destId="{163E9085-B51D-4A45-96C9-010F74319FE0}" srcOrd="3" destOrd="0" parTransId="{3FA8CA6D-9523-C44B-BA1A-FE3B7EA9A20B}" sibTransId="{D25BE3A3-1B78-E846-BE31-E8CDF02B2785}"/>
    <dgm:cxn modelId="{A3AD9A3A-9807-42C9-8B3F-4F83EDDF4AA0}" type="presOf" srcId="{E9DE3A66-32A4-FA40-8C69-215E5E39DE19}" destId="{750DC607-7E96-4DC5-A809-BCDB5997B5DE}" srcOrd="0" destOrd="4" presId="urn:microsoft.com/office/officeart/2005/8/layout/vList5"/>
    <dgm:cxn modelId="{5F139F3B-DC53-403B-B36D-4135A68A85CC}" type="presOf" srcId="{C5542386-FBBB-6B46-813E-0DF28927637D}" destId="{9352D56E-E134-4BFD-B948-764F11538B6C}" srcOrd="0" destOrd="3" presId="urn:microsoft.com/office/officeart/2005/8/layout/vList5"/>
    <dgm:cxn modelId="{A434F2DC-DC34-461A-A817-3B5A07EB659D}" type="presOf" srcId="{ADD84AA7-B411-BB43-A580-42AFA214B85B}" destId="{9352D56E-E134-4BFD-B948-764F11538B6C}" srcOrd="0" destOrd="2" presId="urn:microsoft.com/office/officeart/2005/8/layout/vList5"/>
    <dgm:cxn modelId="{E5F13B1D-3DF1-4EAE-A5AD-18E63FB52926}" srcId="{D16D4B37-9BCB-4BF0-A886-A5EC660FC031}" destId="{CA9CD165-5730-4D38-81BB-3F6E91BB59B5}" srcOrd="4" destOrd="0" parTransId="{B9E361B4-24CC-4626-BABB-780E2E857B9A}" sibTransId="{80C881DD-B355-4F75-89BD-6E90D99EC1FB}"/>
    <dgm:cxn modelId="{C68477B1-C278-4809-A67C-0C55A5BE4091}" srcId="{D16D4B37-9BCB-4BF0-A886-A5EC660FC031}" destId="{7EFDEFED-4C06-476C-8A6C-4E13BDACBFBD}" srcOrd="5" destOrd="0" parTransId="{62A572F5-0C2A-4443-829E-AFA017B5CB19}" sibTransId="{EA6D8A4C-EA45-4370-BD60-283CD4294C56}"/>
    <dgm:cxn modelId="{0F83B0EA-4D15-4104-9937-57EE0E64227F}" srcId="{97BFCF11-1D37-4788-BD6A-4C097C7B8013}" destId="{F05EFD41-A367-4BF7-8AD0-1C0DD7EA075E}" srcOrd="0" destOrd="0" parTransId="{ABD59457-07C1-4BE0-BD97-28F263BEF5E2}" sibTransId="{6286C79F-046D-4332-8CCD-5241020214B8}"/>
    <dgm:cxn modelId="{B36329DC-C0CC-4C7B-8903-F1B8C217327C}" type="presOf" srcId="{FC8D1400-188F-43D7-835D-473E5F83C9B1}" destId="{B3FD73A4-0466-4BB3-85AD-1338078BB87A}" srcOrd="0" destOrd="0" presId="urn:microsoft.com/office/officeart/2005/8/layout/vList5"/>
    <dgm:cxn modelId="{147FB251-4985-4B0B-AFFD-054B5D5982E2}" type="presOf" srcId="{D16D4B37-9BCB-4BF0-A886-A5EC660FC031}" destId="{0E710E3C-7AAC-41AA-8985-56FF27D6F1D3}" srcOrd="0" destOrd="0" presId="urn:microsoft.com/office/officeart/2005/8/layout/vList5"/>
    <dgm:cxn modelId="{E76890E3-A4C4-4A3C-850C-AFD35381038A}" srcId="{D31ADF5D-AF94-47B0-8264-A4309375FC65}" destId="{FC8D1400-188F-43D7-835D-473E5F83C9B1}" srcOrd="0" destOrd="0" parTransId="{1FC7BB00-CC86-4EE2-B0FC-2746B8B0251D}" sibTransId="{8841E2A1-E16B-4364-99A7-37D7EFB5D967}"/>
    <dgm:cxn modelId="{97531026-2D0A-4EE8-B1B3-6005C2FA55E2}" srcId="{D16D4B37-9BCB-4BF0-A886-A5EC660FC031}" destId="{EA43E72B-EB5D-48CD-BCEC-CC72EE61EB0E}" srcOrd="0" destOrd="0" parTransId="{5786998A-B285-4EB2-B109-AE1888290152}" sibTransId="{95BEF082-2CA4-4764-B26E-A2B68ECC2BCA}"/>
    <dgm:cxn modelId="{BCE94DC7-0C7B-4AEE-85B5-462546927BF7}" type="presOf" srcId="{CDD4E00D-AF7A-344E-91B4-C36B541A754D}" destId="{76BC08E6-9704-444C-A4ED-DE3AFFEC0767}" srcOrd="0" destOrd="2" presId="urn:microsoft.com/office/officeart/2005/8/layout/vList5"/>
    <dgm:cxn modelId="{D82BC72C-63C0-427D-92E8-2F8CC5D50E12}" type="presOf" srcId="{1BCB1B4A-08EF-6649-9FEE-DE0473E6A634}" destId="{B3FD73A4-0466-4BB3-85AD-1338078BB87A}" srcOrd="0" destOrd="1" presId="urn:microsoft.com/office/officeart/2005/8/layout/vList5"/>
    <dgm:cxn modelId="{186D79B9-6736-4870-A4FC-CDB484B9924D}" type="presOf" srcId="{51BB05FB-54B6-43A7-A997-A1BC7545FB5A}" destId="{2E714FD8-CFDD-4D1F-AE37-E118428A464C}" srcOrd="0" destOrd="1" presId="urn:microsoft.com/office/officeart/2005/8/layout/vList5"/>
    <dgm:cxn modelId="{A6CBE73F-913B-48B6-A32C-E8ECDFE4CCCA}" srcId="{CA9CD165-5730-4D38-81BB-3F6E91BB59B5}" destId="{35634B40-3631-477E-AF13-68FA1801CC85}" srcOrd="0" destOrd="0" parTransId="{48BFCE0D-54D1-463E-A449-0B3FB8418D4A}" sibTransId="{132A1C12-7AC8-4AF4-B44C-CF4CA18612CB}"/>
    <dgm:cxn modelId="{F28817F4-2025-4401-A698-1E8939BF3924}" type="presOf" srcId="{163E9085-B51D-4A45-96C9-010F74319FE0}" destId="{750DC607-7E96-4DC5-A809-BCDB5997B5DE}" srcOrd="0" destOrd="3" presId="urn:microsoft.com/office/officeart/2005/8/layout/vList5"/>
    <dgm:cxn modelId="{60077B71-1CF7-4C11-8D0B-33FF73F0FB80}" srcId="{7EFDEFED-4C06-476C-8A6C-4E13BDACBFBD}" destId="{058FEBBA-9075-4528-8872-D9BAFA9BC2AC}" srcOrd="0" destOrd="0" parTransId="{C6988B76-F96E-4286-B7E2-7D5C05E93B91}" sibTransId="{57A791A1-A2A8-473E-97F1-8C41102CD578}"/>
    <dgm:cxn modelId="{DDE9B599-F95E-4785-B6AC-F19AAD512C85}" type="presOf" srcId="{1D35DBCC-E2F1-1543-93AF-396E10371C85}" destId="{76BC08E6-9704-444C-A4ED-DE3AFFEC0767}" srcOrd="0" destOrd="3" presId="urn:microsoft.com/office/officeart/2005/8/layout/vList5"/>
    <dgm:cxn modelId="{F48C5491-D2EF-46EA-A6D8-7339B74861ED}" srcId="{D16D4B37-9BCB-4BF0-A886-A5EC660FC031}" destId="{8FAA1F33-028A-4F65-B6A5-6DADB09FEBD0}" srcOrd="3" destOrd="0" parTransId="{01E2A09D-AA25-4B04-A4FA-1EFF2E1CC5A6}" sibTransId="{0659CCA5-13A0-4101-AAEE-21FB6674B1D8}"/>
    <dgm:cxn modelId="{62C4F3E5-93A2-4119-AE67-D987E3497586}" type="presOf" srcId="{6CC40230-CBC2-CA4D-AB8C-0CA91D3CBC82}" destId="{750DC607-7E96-4DC5-A809-BCDB5997B5DE}" srcOrd="0" destOrd="2" presId="urn:microsoft.com/office/officeart/2005/8/layout/vList5"/>
    <dgm:cxn modelId="{9F8B915D-B8A5-4D5B-9D33-37B9CD6AE749}" type="presOf" srcId="{35634B40-3631-477E-AF13-68FA1801CC85}" destId="{750DC607-7E96-4DC5-A809-BCDB5997B5DE}" srcOrd="0" destOrd="0" presId="urn:microsoft.com/office/officeart/2005/8/layout/vList5"/>
    <dgm:cxn modelId="{2198038A-D3A9-4B24-840A-B699460564E5}" type="presOf" srcId="{80F49B4E-9F96-4CC7-93F6-F6B4CBC8F5F7}" destId="{2E714FD8-CFDD-4D1F-AE37-E118428A464C}" srcOrd="0" destOrd="0" presId="urn:microsoft.com/office/officeart/2005/8/layout/vList5"/>
    <dgm:cxn modelId="{DA4B4D29-3701-4806-99E5-0D58A79894F0}" type="presOf" srcId="{BDD82CCB-783F-3B43-A2DC-FF6A48093A92}" destId="{750DC607-7E96-4DC5-A809-BCDB5997B5DE}" srcOrd="0" destOrd="1" presId="urn:microsoft.com/office/officeart/2005/8/layout/vList5"/>
    <dgm:cxn modelId="{6F656D12-C7C1-47E5-9D4A-56892A383373}" type="presOf" srcId="{F9E78B2E-FE67-FF40-90B2-430B1BD15702}" destId="{76BC08E6-9704-444C-A4ED-DE3AFFEC0767}" srcOrd="0" destOrd="1" presId="urn:microsoft.com/office/officeart/2005/8/layout/vList5"/>
    <dgm:cxn modelId="{10F00A3D-9C42-4A32-977C-220D87DB7C29}" srcId="{D16D4B37-9BCB-4BF0-A886-A5EC660FC031}" destId="{D31ADF5D-AF94-47B0-8264-A4309375FC65}" srcOrd="1" destOrd="0" parTransId="{AE644602-A6CD-46BE-BEBE-65B9DE9558B1}" sibTransId="{9B5AFC43-42E6-4719-A6E9-C13C53D1339B}"/>
    <dgm:cxn modelId="{D178F4F6-5748-2D41-ABAC-ACAC0BCEE506}" srcId="{8FAA1F33-028A-4F65-B6A5-6DADB09FEBD0}" destId="{CDD4E00D-AF7A-344E-91B4-C36B541A754D}" srcOrd="2" destOrd="0" parTransId="{DF7D9AE2-E4F0-FC4B-807B-9ED48200E3C8}" sibTransId="{CB0E4680-429E-B743-9C3D-660D53C9ADC2}"/>
    <dgm:cxn modelId="{C5E38F08-76D8-493B-A059-CC10392BF4A6}" srcId="{EA43E72B-EB5D-48CD-BCEC-CC72EE61EB0E}" destId="{80F49B4E-9F96-4CC7-93F6-F6B4CBC8F5F7}" srcOrd="0" destOrd="0" parTransId="{987FC7FE-D1BD-49C7-9C5B-65678229AA59}" sibTransId="{F1F81576-0069-4A5D-92E6-E13E12C7F8A7}"/>
    <dgm:cxn modelId="{AF02EC7C-2398-43EC-861D-4735090E9415}" type="presOf" srcId="{03E56F40-DA00-EA42-8557-8ABED6A6E5D1}" destId="{76BC08E6-9704-444C-A4ED-DE3AFFEC0767}" srcOrd="0" destOrd="4" presId="urn:microsoft.com/office/officeart/2005/8/layout/vList5"/>
    <dgm:cxn modelId="{ABA10790-6B43-B245-B24E-15363817D241}" srcId="{97BFCF11-1D37-4788-BD6A-4C097C7B8013}" destId="{ADD84AA7-B411-BB43-A580-42AFA214B85B}" srcOrd="2" destOrd="0" parTransId="{0F302CE0-6783-AF46-A3C3-FF2AA3C3BAAA}" sibTransId="{E3263BB1-A4A3-B144-A438-F05A355F0CEC}"/>
    <dgm:cxn modelId="{6C10DE84-1B2D-ED49-9A45-E4D60E5AA7FE}" srcId="{8FAA1F33-028A-4F65-B6A5-6DADB09FEBD0}" destId="{03E56F40-DA00-EA42-8557-8ABED6A6E5D1}" srcOrd="4" destOrd="0" parTransId="{DE1AE252-FC73-5A4F-975A-939E1D336D93}" sibTransId="{4D690C71-EA55-194D-8F7A-605007C7F1CE}"/>
    <dgm:cxn modelId="{E47F6780-1BB6-F444-85BF-A043D2C4079D}" srcId="{CA9CD165-5730-4D38-81BB-3F6E91BB59B5}" destId="{6CC40230-CBC2-CA4D-AB8C-0CA91D3CBC82}" srcOrd="2" destOrd="0" parTransId="{C7E7D824-5C95-0F46-BB75-719402FC0BE1}" sibTransId="{83C664E7-E41F-F84C-B042-90665952762E}"/>
    <dgm:cxn modelId="{7C8215B1-9915-439A-8015-63B19C7E5A79}" type="presOf" srcId="{7EFDEFED-4C06-476C-8A6C-4E13BDACBFBD}" destId="{A005F728-BFA2-487B-8351-1F4111941038}" srcOrd="0" destOrd="0" presId="urn:microsoft.com/office/officeart/2005/8/layout/vList5"/>
    <dgm:cxn modelId="{A8C9AE89-CFE6-415A-A122-2D05AB1F35C2}" srcId="{D16D4B37-9BCB-4BF0-A886-A5EC660FC031}" destId="{97BFCF11-1D37-4788-BD6A-4C097C7B8013}" srcOrd="2" destOrd="0" parTransId="{88CA6457-049E-468E-A9C3-0211AFA3894C}" sibTransId="{E0AE7F42-A523-4E78-A9B2-D5986AA798C2}"/>
    <dgm:cxn modelId="{2B89F922-91F0-4D66-B516-748AEE4CA916}" type="presOf" srcId="{F05EFD41-A367-4BF7-8AD0-1C0DD7EA075E}" destId="{9352D56E-E134-4BFD-B948-764F11538B6C}" srcOrd="0" destOrd="0" presId="urn:microsoft.com/office/officeart/2005/8/layout/vList5"/>
    <dgm:cxn modelId="{C05B6ECC-9783-D748-8EE1-A70D028439AE}" srcId="{CA9CD165-5730-4D38-81BB-3F6E91BB59B5}" destId="{BDD82CCB-783F-3B43-A2DC-FF6A48093A92}" srcOrd="1" destOrd="0" parTransId="{117C38E7-ABDD-2740-8834-6E696499B0E9}" sibTransId="{E028CC74-4A5A-8647-8828-5064B19B04EC}"/>
    <dgm:cxn modelId="{1880C7EC-1B34-4ECD-87D9-D959DF8C94B1}" type="presOf" srcId="{D31ADF5D-AF94-47B0-8264-A4309375FC65}" destId="{060A059D-02BB-4AF4-B34E-8C05EB2995FB}" srcOrd="0" destOrd="0" presId="urn:microsoft.com/office/officeart/2005/8/layout/vList5"/>
    <dgm:cxn modelId="{3C42B485-A626-4555-B1D2-E7175C04392B}" srcId="{8FAA1F33-028A-4F65-B6A5-6DADB09FEBD0}" destId="{12C22EE2-33F6-4C53-93D5-E916BDFE9090}" srcOrd="0" destOrd="0" parTransId="{E5ED10C1-9774-428E-848E-939B0865A50D}" sibTransId="{E85288AE-3125-4BFA-97F4-69B680051ED0}"/>
    <dgm:cxn modelId="{3F631395-521E-4F00-A5C0-A18BCBCE2D7F}" type="presOf" srcId="{12C22EE2-33F6-4C53-93D5-E916BDFE9090}" destId="{76BC08E6-9704-444C-A4ED-DE3AFFEC0767}" srcOrd="0" destOrd="0" presId="urn:microsoft.com/office/officeart/2005/8/layout/vList5"/>
    <dgm:cxn modelId="{40198AF7-01F3-4955-94D3-99F495BC2596}" srcId="{EA43E72B-EB5D-48CD-BCEC-CC72EE61EB0E}" destId="{51BB05FB-54B6-43A7-A997-A1BC7545FB5A}" srcOrd="1" destOrd="0" parTransId="{0FDD2820-CE47-4894-A56A-5EB2855E2D27}" sibTransId="{8050EB85-6183-46DA-B425-287E48569261}"/>
    <dgm:cxn modelId="{C7A6A841-C96C-4D86-9B06-B3D0084A199E}" type="presOf" srcId="{2A1C44FA-0292-43AA-AC16-D3CAAB65014F}" destId="{2E714FD8-CFDD-4D1F-AE37-E118428A464C}" srcOrd="0" destOrd="2" presId="urn:microsoft.com/office/officeart/2005/8/layout/vList5"/>
    <dgm:cxn modelId="{AA0F9BD6-B80F-47B2-BFA7-DB31ECE2D665}" type="presOf" srcId="{A4D34863-8A0E-5C45-AAA1-CF47B9CD04E8}" destId="{9352D56E-E134-4BFD-B948-764F11538B6C}" srcOrd="0" destOrd="1" presId="urn:microsoft.com/office/officeart/2005/8/layout/vList5"/>
    <dgm:cxn modelId="{976D7581-1F5E-4F75-B7D6-D3722888EDE3}" type="presOf" srcId="{97BFCF11-1D37-4788-BD6A-4C097C7B8013}" destId="{767360D4-AF53-4BB7-AFBD-8E825B0FFDAD}" srcOrd="0" destOrd="0" presId="urn:microsoft.com/office/officeart/2005/8/layout/vList5"/>
    <dgm:cxn modelId="{F240A9DD-B5D4-411B-956A-4DF4BE630C9B}" type="presParOf" srcId="{0E710E3C-7AAC-41AA-8985-56FF27D6F1D3}" destId="{D9435684-C249-4F49-BE4A-0ABA30F86865}" srcOrd="0" destOrd="0" presId="urn:microsoft.com/office/officeart/2005/8/layout/vList5"/>
    <dgm:cxn modelId="{6E630179-A96F-4B01-BB5A-32B201696986}" type="presParOf" srcId="{D9435684-C249-4F49-BE4A-0ABA30F86865}" destId="{09A9A8D2-0F98-4843-B164-1B4EC5322AF3}" srcOrd="0" destOrd="0" presId="urn:microsoft.com/office/officeart/2005/8/layout/vList5"/>
    <dgm:cxn modelId="{FE50F5CD-1D57-47B0-833C-A613594853C5}" type="presParOf" srcId="{D9435684-C249-4F49-BE4A-0ABA30F86865}" destId="{2E714FD8-CFDD-4D1F-AE37-E118428A464C}" srcOrd="1" destOrd="0" presId="urn:microsoft.com/office/officeart/2005/8/layout/vList5"/>
    <dgm:cxn modelId="{A88EBDD5-CC59-4CDB-9A46-75AED8013E72}" type="presParOf" srcId="{0E710E3C-7AAC-41AA-8985-56FF27D6F1D3}" destId="{B27422D0-E31A-43B1-BF19-53369A476E0F}" srcOrd="1" destOrd="0" presId="urn:microsoft.com/office/officeart/2005/8/layout/vList5"/>
    <dgm:cxn modelId="{D4E067E2-635A-4F90-A24A-51A70B413AA4}" type="presParOf" srcId="{0E710E3C-7AAC-41AA-8985-56FF27D6F1D3}" destId="{853E8A87-1BCB-4F12-9018-3BA94D479A0A}" srcOrd="2" destOrd="0" presId="urn:microsoft.com/office/officeart/2005/8/layout/vList5"/>
    <dgm:cxn modelId="{DB1A1316-B07F-43BB-862C-C33BF40B4FFB}" type="presParOf" srcId="{853E8A87-1BCB-4F12-9018-3BA94D479A0A}" destId="{060A059D-02BB-4AF4-B34E-8C05EB2995FB}" srcOrd="0" destOrd="0" presId="urn:microsoft.com/office/officeart/2005/8/layout/vList5"/>
    <dgm:cxn modelId="{F41A382B-7A6D-4A86-A8F9-F2D1ABCD9F39}" type="presParOf" srcId="{853E8A87-1BCB-4F12-9018-3BA94D479A0A}" destId="{B3FD73A4-0466-4BB3-85AD-1338078BB87A}" srcOrd="1" destOrd="0" presId="urn:microsoft.com/office/officeart/2005/8/layout/vList5"/>
    <dgm:cxn modelId="{2F8809FE-0EE2-4682-A573-22FA80F28ED8}" type="presParOf" srcId="{0E710E3C-7AAC-41AA-8985-56FF27D6F1D3}" destId="{9C38C9AE-37AF-4115-A8AE-315F95E80FA1}" srcOrd="3" destOrd="0" presId="urn:microsoft.com/office/officeart/2005/8/layout/vList5"/>
    <dgm:cxn modelId="{8F56D086-0B2C-4BCF-BF3D-3A012DA88CD0}" type="presParOf" srcId="{0E710E3C-7AAC-41AA-8985-56FF27D6F1D3}" destId="{3A0EBCA7-1962-4E6A-A988-8982C3FE28B8}" srcOrd="4" destOrd="0" presId="urn:microsoft.com/office/officeart/2005/8/layout/vList5"/>
    <dgm:cxn modelId="{5BE3051C-4B5F-4553-95ED-007DE26A82C9}" type="presParOf" srcId="{3A0EBCA7-1962-4E6A-A988-8982C3FE28B8}" destId="{767360D4-AF53-4BB7-AFBD-8E825B0FFDAD}" srcOrd="0" destOrd="0" presId="urn:microsoft.com/office/officeart/2005/8/layout/vList5"/>
    <dgm:cxn modelId="{7BFCD255-F1F6-4E1B-9DDE-CFA51FF7A3B1}" type="presParOf" srcId="{3A0EBCA7-1962-4E6A-A988-8982C3FE28B8}" destId="{9352D56E-E134-4BFD-B948-764F11538B6C}" srcOrd="1" destOrd="0" presId="urn:microsoft.com/office/officeart/2005/8/layout/vList5"/>
    <dgm:cxn modelId="{D9054F68-819D-4A36-A05F-5342A0243933}" type="presParOf" srcId="{0E710E3C-7AAC-41AA-8985-56FF27D6F1D3}" destId="{B2060D7D-A30E-4CDA-BFD5-8E05105177F2}" srcOrd="5" destOrd="0" presId="urn:microsoft.com/office/officeart/2005/8/layout/vList5"/>
    <dgm:cxn modelId="{1763659E-2EF2-42AC-8B4F-403340A18295}" type="presParOf" srcId="{0E710E3C-7AAC-41AA-8985-56FF27D6F1D3}" destId="{CB859223-0C0C-4E02-B20B-9B8E3FD3EC0E}" srcOrd="6" destOrd="0" presId="urn:microsoft.com/office/officeart/2005/8/layout/vList5"/>
    <dgm:cxn modelId="{1F250B3F-CF8D-4425-A765-3D66F007630F}" type="presParOf" srcId="{CB859223-0C0C-4E02-B20B-9B8E3FD3EC0E}" destId="{68B3C3F6-5A75-43CF-B55B-A1158D1B66A0}" srcOrd="0" destOrd="0" presId="urn:microsoft.com/office/officeart/2005/8/layout/vList5"/>
    <dgm:cxn modelId="{2BB0CDFC-0CB4-4B1B-B1E0-8E2C359CEA56}" type="presParOf" srcId="{CB859223-0C0C-4E02-B20B-9B8E3FD3EC0E}" destId="{76BC08E6-9704-444C-A4ED-DE3AFFEC0767}" srcOrd="1" destOrd="0" presId="urn:microsoft.com/office/officeart/2005/8/layout/vList5"/>
    <dgm:cxn modelId="{4035E7DF-1315-440F-8643-0088AEDB7D4F}" type="presParOf" srcId="{0E710E3C-7AAC-41AA-8985-56FF27D6F1D3}" destId="{78789FD2-0B14-473A-BBA2-7210E0591D31}" srcOrd="7" destOrd="0" presId="urn:microsoft.com/office/officeart/2005/8/layout/vList5"/>
    <dgm:cxn modelId="{694041D2-FD1E-438C-B321-8F329595DBB8}" type="presParOf" srcId="{0E710E3C-7AAC-41AA-8985-56FF27D6F1D3}" destId="{0C5947CE-D271-42AB-B397-4BB18A3D21AB}" srcOrd="8" destOrd="0" presId="urn:microsoft.com/office/officeart/2005/8/layout/vList5"/>
    <dgm:cxn modelId="{1267FF6A-A9F8-49D0-BA24-4630E6F27BA2}" type="presParOf" srcId="{0C5947CE-D271-42AB-B397-4BB18A3D21AB}" destId="{E1403A46-C023-4CA1-88F2-114DFF6B60BE}" srcOrd="0" destOrd="0" presId="urn:microsoft.com/office/officeart/2005/8/layout/vList5"/>
    <dgm:cxn modelId="{E1B49D93-3AF7-46F4-8F72-9E3AE8F8656F}" type="presParOf" srcId="{0C5947CE-D271-42AB-B397-4BB18A3D21AB}" destId="{750DC607-7E96-4DC5-A809-BCDB5997B5DE}" srcOrd="1" destOrd="0" presId="urn:microsoft.com/office/officeart/2005/8/layout/vList5"/>
    <dgm:cxn modelId="{24DE32A1-D23A-443C-8EBF-A8C6D359849B}" type="presParOf" srcId="{0E710E3C-7AAC-41AA-8985-56FF27D6F1D3}" destId="{9E2395FE-85DF-4A6F-B8CF-75E38CDD56EA}" srcOrd="9" destOrd="0" presId="urn:microsoft.com/office/officeart/2005/8/layout/vList5"/>
    <dgm:cxn modelId="{B2493D52-7F37-42A5-A0EF-11D6D829BADF}" type="presParOf" srcId="{0E710E3C-7AAC-41AA-8985-56FF27D6F1D3}" destId="{0A9A1C83-F3F6-4AFC-8267-94745FE98139}" srcOrd="10" destOrd="0" presId="urn:microsoft.com/office/officeart/2005/8/layout/vList5"/>
    <dgm:cxn modelId="{F81E83A6-BDD2-4AA0-9844-DB61D6DF9ACA}" type="presParOf" srcId="{0A9A1C83-F3F6-4AFC-8267-94745FE98139}" destId="{A005F728-BFA2-487B-8351-1F4111941038}" srcOrd="0" destOrd="0" presId="urn:microsoft.com/office/officeart/2005/8/layout/vList5"/>
    <dgm:cxn modelId="{F4F76EA4-0764-4984-B1AB-80447E4CA4D2}" type="presParOf" srcId="{0A9A1C83-F3F6-4AFC-8267-94745FE98139}" destId="{496AF25A-5108-489B-AF40-4A51D346989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714FD8-CFDD-4D1F-AE37-E118428A464C}">
      <dsp:nvSpPr>
        <dsp:cNvPr id="0" name=""/>
        <dsp:cNvSpPr/>
      </dsp:nvSpPr>
      <dsp:spPr>
        <a:xfrm rot="5400000">
          <a:off x="3729699" y="-1995106"/>
          <a:ext cx="327526" cy="440121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Промышленная модернизация экономики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/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Цивилизационный скачок в образовании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садиков, яслей, с целью вовлечения женщин в трудовой процесс.</a:t>
          </a:r>
        </a:p>
      </dsp:txBody>
      <dsp:txXfrm rot="-5400000">
        <a:off x="1692855" y="57727"/>
        <a:ext cx="4385227" cy="295548"/>
      </dsp:txXfrm>
    </dsp:sp>
    <dsp:sp modelId="{09A9A8D2-0F98-4843-B164-1B4EC5322AF3}">
      <dsp:nvSpPr>
        <dsp:cNvPr id="0" name=""/>
        <dsp:cNvSpPr/>
      </dsp:nvSpPr>
      <dsp:spPr>
        <a:xfrm>
          <a:off x="1929" y="797"/>
          <a:ext cx="1690925" cy="40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lvl="0" algn="ctr" defTabSz="3556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Положительная инерция индустриализации</a:t>
          </a:r>
          <a:endParaRPr lang="ru-RU" sz="800" kern="1200"/>
        </a:p>
      </dsp:txBody>
      <dsp:txXfrm>
        <a:off x="21915" y="20783"/>
        <a:ext cx="1650953" cy="369435"/>
      </dsp:txXfrm>
    </dsp:sp>
    <dsp:sp modelId="{B3FD73A4-0466-4BB3-85AD-1338078BB87A}">
      <dsp:nvSpPr>
        <dsp:cNvPr id="0" name=""/>
        <dsp:cNvSpPr/>
      </dsp:nvSpPr>
      <dsp:spPr>
        <a:xfrm rot="5400000">
          <a:off x="3729699" y="-1552731"/>
          <a:ext cx="327526" cy="440121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Эвакуация промышленности в восточные регионы страны</a:t>
          </a: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Решение вопросов территориального расположения эвакуированных предприятий и монтажа на местах новой дислокации, снабжения их кадрами.</a:t>
          </a:r>
          <a:endParaRPr lang="ru-RU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692855" y="500102"/>
        <a:ext cx="4385227" cy="295548"/>
      </dsp:txXfrm>
    </dsp:sp>
    <dsp:sp modelId="{060A059D-02BB-4AF4-B34E-8C05EB2995FB}">
      <dsp:nvSpPr>
        <dsp:cNvPr id="0" name=""/>
        <dsp:cNvSpPr/>
      </dsp:nvSpPr>
      <dsp:spPr>
        <a:xfrm>
          <a:off x="1929" y="443172"/>
          <a:ext cx="1690925" cy="40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lvl="0" algn="ctr" defTabSz="3556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Централизованное планирование</a:t>
          </a:r>
          <a:endParaRPr lang="ru-RU" sz="800" kern="1200"/>
        </a:p>
      </dsp:txBody>
      <dsp:txXfrm>
        <a:off x="21915" y="463158"/>
        <a:ext cx="1650953" cy="369435"/>
      </dsp:txXfrm>
    </dsp:sp>
    <dsp:sp modelId="{9352D56E-E134-4BFD-B948-764F11538B6C}">
      <dsp:nvSpPr>
        <dsp:cNvPr id="0" name=""/>
        <dsp:cNvSpPr/>
      </dsp:nvSpPr>
      <dsp:spPr>
        <a:xfrm rot="5400000">
          <a:off x="3729699" y="-1110356"/>
          <a:ext cx="327526" cy="440121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Добыча полезных ископаемых на обширных территориях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/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Мобилизация населения, проживающего на значительных территориях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/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промышленных предприятий в азиатской части СССР в начале 30-х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800" kern="1200"/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endParaRPr lang="ru-RU" sz="800" kern="1200"/>
        </a:p>
      </dsp:txBody>
      <dsp:txXfrm rot="-5400000">
        <a:off x="1692855" y="942477"/>
        <a:ext cx="4385227" cy="295548"/>
      </dsp:txXfrm>
    </dsp:sp>
    <dsp:sp modelId="{767360D4-AF53-4BB7-AFBD-8E825B0FFDAD}">
      <dsp:nvSpPr>
        <dsp:cNvPr id="0" name=""/>
        <dsp:cNvSpPr/>
      </dsp:nvSpPr>
      <dsp:spPr>
        <a:xfrm>
          <a:off x="1929" y="885547"/>
          <a:ext cx="1690925" cy="40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lvl="0" algn="ctr" defTabSz="3556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Географичекие масштабы и особенности СССР</a:t>
          </a:r>
          <a:endParaRPr lang="ru-RU" sz="800" kern="1200"/>
        </a:p>
      </dsp:txBody>
      <dsp:txXfrm>
        <a:off x="21915" y="905533"/>
        <a:ext cx="1650953" cy="369435"/>
      </dsp:txXfrm>
    </dsp:sp>
    <dsp:sp modelId="{76BC08E6-9704-444C-A4ED-DE3AFFEC0767}">
      <dsp:nvSpPr>
        <dsp:cNvPr id="0" name=""/>
        <dsp:cNvSpPr/>
      </dsp:nvSpPr>
      <dsp:spPr>
        <a:xfrm rot="5400000">
          <a:off x="3729699" y="-667981"/>
          <a:ext cx="327526" cy="440121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оборонительных сооружений;</a:t>
          </a: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Восстановление эвакуированных заводов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Строительство железных дорог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692855" y="1384852"/>
        <a:ext cx="4385227" cy="295548"/>
      </dsp:txXfrm>
    </dsp:sp>
    <dsp:sp modelId="{68B3C3F6-5A75-43CF-B55B-A1158D1B66A0}">
      <dsp:nvSpPr>
        <dsp:cNvPr id="0" name=""/>
        <dsp:cNvSpPr/>
      </dsp:nvSpPr>
      <dsp:spPr>
        <a:xfrm>
          <a:off x="1929" y="1327922"/>
          <a:ext cx="1690925" cy="40940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lvl="0" algn="ctr" defTabSz="3556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Самоотверженный труд населения в тылу</a:t>
          </a:r>
          <a:endParaRPr lang="ru-RU" sz="800" kern="1200"/>
        </a:p>
      </dsp:txBody>
      <dsp:txXfrm>
        <a:off x="21915" y="1347908"/>
        <a:ext cx="1650953" cy="369435"/>
      </dsp:txXfrm>
    </dsp:sp>
    <dsp:sp modelId="{750DC607-7E96-4DC5-A809-BCDB5997B5DE}">
      <dsp:nvSpPr>
        <dsp:cNvPr id="0" name=""/>
        <dsp:cNvSpPr/>
      </dsp:nvSpPr>
      <dsp:spPr>
        <a:xfrm rot="5400000">
          <a:off x="3746516" y="-233013"/>
          <a:ext cx="297750" cy="440121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endParaRPr lang="ru-RU" sz="800" kern="1200"/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Приобретение билетов государственного займа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Денежные и материальные пожертвования</a:t>
          </a:r>
          <a:r>
            <a:rPr lang="en-US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;</a:t>
          </a: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Пожертвования Православной церкви.</a:t>
          </a:r>
        </a:p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endParaRPr lang="ru-RU" sz="8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694784" y="1833254"/>
        <a:ext cx="4386681" cy="268680"/>
      </dsp:txXfrm>
    </dsp:sp>
    <dsp:sp modelId="{E1403A46-C023-4CA1-88F2-114DFF6B60BE}">
      <dsp:nvSpPr>
        <dsp:cNvPr id="0" name=""/>
        <dsp:cNvSpPr/>
      </dsp:nvSpPr>
      <dsp:spPr>
        <a:xfrm>
          <a:off x="1929" y="1770297"/>
          <a:ext cx="1690925" cy="3721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lvl="0" algn="ctr" defTabSz="3556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участие населения в пополнении бюджета</a:t>
          </a:r>
          <a:endParaRPr lang="ru-RU" sz="800" kern="1200"/>
        </a:p>
      </dsp:txBody>
      <dsp:txXfrm>
        <a:off x="20098" y="1788466"/>
        <a:ext cx="1654587" cy="335849"/>
      </dsp:txXfrm>
    </dsp:sp>
    <dsp:sp modelId="{496AF25A-5108-489B-AF40-4A51D3469896}">
      <dsp:nvSpPr>
        <dsp:cNvPr id="0" name=""/>
        <dsp:cNvSpPr/>
      </dsp:nvSpPr>
      <dsp:spPr>
        <a:xfrm rot="5400000">
          <a:off x="3758122" y="144018"/>
          <a:ext cx="270679" cy="4401216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8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Финансовая и материальная помощь США, предоставленная СССР во время ВОВ на возвратной основе.</a:t>
          </a:r>
          <a:endParaRPr lang="ru-RU" sz="800" kern="1200"/>
        </a:p>
      </dsp:txBody>
      <dsp:txXfrm rot="-5400000">
        <a:off x="1692854" y="2222500"/>
        <a:ext cx="4388003" cy="244253"/>
      </dsp:txXfrm>
    </dsp:sp>
    <dsp:sp modelId="{A005F728-BFA2-487B-8351-1F4111941038}">
      <dsp:nvSpPr>
        <dsp:cNvPr id="0" name=""/>
        <dsp:cNvSpPr/>
      </dsp:nvSpPr>
      <dsp:spPr>
        <a:xfrm>
          <a:off x="1929" y="2175452"/>
          <a:ext cx="1690925" cy="33834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889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lvl="0" algn="ctr" defTabSz="3556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ru-RU" sz="8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Программа ленд-лиз</a:t>
          </a:r>
          <a:endParaRPr lang="ru-RU" sz="800" kern="1200"/>
        </a:p>
      </dsp:txBody>
      <dsp:txXfrm>
        <a:off x="18446" y="2191969"/>
        <a:ext cx="1657891" cy="3053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8273-4C05-41D7-86E3-CC68BCA0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2025-06-25T12:29:00Z</dcterms:created>
  <dcterms:modified xsi:type="dcterms:W3CDTF">2025-06-25T12:29:00Z</dcterms:modified>
</cp:coreProperties>
</file>