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3B45B2E" w:rsidR="00130241" w:rsidRPr="00AA05FD" w:rsidRDefault="00AA05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AA05FD">
        <w:rPr>
          <w:b/>
          <w:color w:val="000000"/>
        </w:rPr>
        <w:t>Coherence</w:t>
      </w:r>
      <w:r w:rsidRPr="00AA05FD">
        <w:rPr>
          <w:b/>
          <w:color w:val="000000"/>
        </w:rPr>
        <w:t xml:space="preserve"> </w:t>
      </w:r>
      <w:r w:rsidRPr="00AA05FD">
        <w:rPr>
          <w:b/>
          <w:color w:val="000000"/>
        </w:rPr>
        <w:t>and</w:t>
      </w:r>
      <w:r w:rsidRPr="00AA05FD">
        <w:rPr>
          <w:b/>
          <w:color w:val="000000"/>
        </w:rPr>
        <w:t xml:space="preserve"> Metacommunity Structure of Testate Amoebae on Yakushima Island</w:t>
      </w:r>
      <w:r>
        <w:rPr>
          <w:b/>
          <w:color w:val="000000"/>
        </w:rPr>
        <w:t>, Japan</w:t>
      </w:r>
    </w:p>
    <w:p w14:paraId="00000002" w14:textId="5F896A32" w:rsidR="00130241" w:rsidRPr="00155044" w:rsidRDefault="001E6A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Zhu Q</w:t>
      </w:r>
      <w:r w:rsidR="00770B38">
        <w:rPr>
          <w:b/>
          <w:i/>
          <w:color w:val="000000"/>
        </w:rPr>
        <w:t>ihan</w:t>
      </w:r>
    </w:p>
    <w:p w14:paraId="00000003" w14:textId="15B1F25B" w:rsidR="00130241" w:rsidRPr="00155044" w:rsidRDefault="00C444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3307C">
        <w:rPr>
          <w:i/>
          <w:iCs/>
          <w:color w:val="000000"/>
        </w:rPr>
        <w:t>Postgraduate student,</w:t>
      </w:r>
      <w:r w:rsidR="00AA05FD">
        <w:rPr>
          <w:i/>
          <w:iCs/>
          <w:color w:val="000000"/>
          <w:lang w:val="en-US"/>
        </w:rPr>
        <w:t>2nd</w:t>
      </w:r>
      <w:r w:rsidRPr="0023307C">
        <w:rPr>
          <w:i/>
          <w:iCs/>
          <w:color w:val="000000"/>
          <w:lang w:val="en-US"/>
        </w:rPr>
        <w:t xml:space="preserve"> </w:t>
      </w:r>
      <w:r w:rsidRPr="0023307C">
        <w:rPr>
          <w:i/>
          <w:iCs/>
          <w:color w:val="000000"/>
        </w:rPr>
        <w:t>year of study</w:t>
      </w:r>
    </w:p>
    <w:p w14:paraId="00000004" w14:textId="35BBF295" w:rsidR="00130241" w:rsidRPr="00155044" w:rsidRDefault="00CA1F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Shenzhen MSU-BIT University</w:t>
      </w:r>
      <w:r w:rsidR="00EB1F49" w:rsidRPr="00155044">
        <w:rPr>
          <w:i/>
          <w:color w:val="000000"/>
        </w:rPr>
        <w:t>,</w:t>
      </w:r>
    </w:p>
    <w:p w14:paraId="00000005" w14:textId="15BAAA75" w:rsidR="00130241" w:rsidRPr="00155044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55044">
        <w:rPr>
          <w:i/>
          <w:color w:val="000000"/>
        </w:rPr>
        <w:t xml:space="preserve">Faculty of </w:t>
      </w:r>
      <w:r w:rsidR="00CA1FCE">
        <w:rPr>
          <w:i/>
          <w:color w:val="000000"/>
        </w:rPr>
        <w:t>Biology</w:t>
      </w:r>
      <w:r w:rsidRPr="00155044">
        <w:rPr>
          <w:i/>
          <w:color w:val="000000"/>
        </w:rPr>
        <w:t xml:space="preserve">, </w:t>
      </w:r>
      <w:r w:rsidR="00CA1FCE">
        <w:rPr>
          <w:i/>
          <w:color w:val="000000"/>
        </w:rPr>
        <w:t>Shenzhen</w:t>
      </w:r>
      <w:r w:rsidRPr="00155044">
        <w:rPr>
          <w:i/>
          <w:color w:val="000000"/>
        </w:rPr>
        <w:t xml:space="preserve">, </w:t>
      </w:r>
      <w:r w:rsidR="00CA1FCE">
        <w:rPr>
          <w:i/>
          <w:color w:val="000000"/>
        </w:rPr>
        <w:t>China</w:t>
      </w:r>
    </w:p>
    <w:p w14:paraId="00000008" w14:textId="00008FC1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55044">
        <w:rPr>
          <w:i/>
          <w:color w:val="000000"/>
        </w:rPr>
        <w:t xml:space="preserve">E-mail: </w:t>
      </w:r>
      <w:hyperlink r:id="rId8" w:history="1">
        <w:r w:rsidR="00CA2BF4" w:rsidRPr="00137D69">
          <w:rPr>
            <w:rStyle w:val="Hyperlink"/>
            <w:i/>
          </w:rPr>
          <w:t>3120230021@smbu.edu.cn</w:t>
        </w:r>
      </w:hyperlink>
    </w:p>
    <w:p w14:paraId="6B28DFDA" w14:textId="6B144A05" w:rsidR="008F68B4" w:rsidRPr="008B0B01" w:rsidRDefault="0098459D" w:rsidP="008552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 w:rsidRPr="0098459D">
        <w:rPr>
          <w:color w:val="000000"/>
          <w:lang w:val="en-US"/>
        </w:rPr>
        <w:t xml:space="preserve">Revealing the most prevalent community pattern is one of the central issues in community ecology. The study of protist communities, a vital component of terrestrial ecosystems, offers valuable insights into community dynamics. However, many previous studies of this group provided inconsistent results. In this study </w:t>
      </w:r>
      <w:r w:rsidR="006210BA">
        <w:rPr>
          <w:color w:val="000000"/>
          <w:lang w:val="en-US"/>
        </w:rPr>
        <w:t>on</w:t>
      </w:r>
      <w:r w:rsidRPr="0098459D">
        <w:rPr>
          <w:color w:val="000000"/>
          <w:lang w:val="en-US"/>
        </w:rPr>
        <w:t xml:space="preserve"> the subtropical Yakushima Island, Japan, following a comprehensive framework</w:t>
      </w:r>
      <w:r w:rsidR="009533E0">
        <w:rPr>
          <w:color w:val="000000"/>
          <w:lang w:val="en-US"/>
        </w:rPr>
        <w:t xml:space="preserve">, we investigate the </w:t>
      </w:r>
      <w:r w:rsidR="00AA05FD">
        <w:rPr>
          <w:color w:val="000000"/>
          <w:lang w:val="en-US"/>
        </w:rPr>
        <w:t>E</w:t>
      </w:r>
      <w:r w:rsidRPr="0098459D">
        <w:rPr>
          <w:color w:val="000000"/>
          <w:lang w:val="en-US"/>
        </w:rPr>
        <w:t xml:space="preserve">lements of </w:t>
      </w:r>
      <w:r w:rsidR="00AA05FD">
        <w:rPr>
          <w:color w:val="000000"/>
          <w:lang w:val="en-US"/>
        </w:rPr>
        <w:t>M</w:t>
      </w:r>
      <w:r w:rsidRPr="0098459D">
        <w:rPr>
          <w:color w:val="000000"/>
          <w:lang w:val="en-US"/>
        </w:rPr>
        <w:t xml:space="preserve">etacommunity </w:t>
      </w:r>
      <w:r w:rsidR="00AA05FD">
        <w:rPr>
          <w:color w:val="000000"/>
          <w:lang w:val="en-US"/>
        </w:rPr>
        <w:t>S</w:t>
      </w:r>
      <w:r w:rsidRPr="0098459D">
        <w:rPr>
          <w:color w:val="000000"/>
          <w:lang w:val="en-US"/>
        </w:rPr>
        <w:t>tructure (EMS)</w:t>
      </w:r>
      <w:r w:rsidR="00C25B61" w:rsidRPr="00C25B61">
        <w:rPr>
          <w:color w:val="000000"/>
          <w:lang w:val="en-US"/>
        </w:rPr>
        <w:t xml:space="preserve"> </w:t>
      </w:r>
      <w:r w:rsidR="00C25B61">
        <w:rPr>
          <w:color w:val="000000"/>
          <w:lang w:val="en-US"/>
        </w:rPr>
        <w:t>(Leibold &amp; Mikkelson, 2002; Presley et al., 2010)</w:t>
      </w:r>
      <w:r w:rsidRPr="0098459D">
        <w:rPr>
          <w:color w:val="000000"/>
          <w:lang w:val="en-US"/>
        </w:rPr>
        <w:t xml:space="preserve"> to determine the </w:t>
      </w:r>
      <w:r w:rsidR="009533E0">
        <w:rPr>
          <w:color w:val="000000"/>
          <w:lang w:val="en-US"/>
        </w:rPr>
        <w:t>pattern that best describe</w:t>
      </w:r>
      <w:r w:rsidR="00C25B61">
        <w:rPr>
          <w:color w:val="000000"/>
          <w:lang w:val="en-US"/>
        </w:rPr>
        <w:t>s</w:t>
      </w:r>
      <w:r w:rsidR="009533E0">
        <w:rPr>
          <w:color w:val="000000"/>
          <w:lang w:val="en-US"/>
        </w:rPr>
        <w:t xml:space="preserve"> </w:t>
      </w:r>
      <w:r w:rsidR="00C25B61">
        <w:rPr>
          <w:color w:val="000000"/>
          <w:lang w:val="en-US"/>
        </w:rPr>
        <w:t xml:space="preserve">the </w:t>
      </w:r>
      <w:r w:rsidR="009533E0">
        <w:rPr>
          <w:color w:val="000000"/>
          <w:lang w:val="en-US"/>
        </w:rPr>
        <w:t>metacommunity of testate amoebae</w:t>
      </w:r>
      <w:r w:rsidRPr="0098459D">
        <w:rPr>
          <w:color w:val="000000"/>
          <w:lang w:val="en-US"/>
        </w:rPr>
        <w:t>, a group of ecologically important free-living protists, and seek to relate the structure to the responsible mechanisms.</w:t>
      </w:r>
    </w:p>
    <w:p w14:paraId="7B225EFF" w14:textId="0F6480A8" w:rsidR="009A66DB" w:rsidRPr="008B0B01" w:rsidRDefault="00855288" w:rsidP="009A6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 w:rsidRPr="008B0B01">
        <w:rPr>
          <w:rFonts w:hint="eastAsia"/>
          <w:color w:val="000000"/>
          <w:lang w:val="en-US"/>
        </w:rPr>
        <w:t xml:space="preserve">The </w:t>
      </w:r>
      <w:r w:rsidR="0098459D">
        <w:rPr>
          <w:color w:val="000000"/>
          <w:lang w:val="en-US"/>
        </w:rPr>
        <w:t>Principal Component Analysis</w:t>
      </w:r>
      <w:r w:rsidR="00DA16F5">
        <w:rPr>
          <w:color w:val="000000"/>
          <w:lang w:val="en-US"/>
        </w:rPr>
        <w:t xml:space="preserve"> (PCA)</w:t>
      </w:r>
      <w:r w:rsidR="0098459D">
        <w:rPr>
          <w:color w:val="000000"/>
          <w:lang w:val="en-US"/>
        </w:rPr>
        <w:t xml:space="preserve"> suggested a heterogeneity among sites</w:t>
      </w:r>
      <w:r w:rsidR="00B3664A">
        <w:rPr>
          <w:color w:val="000000"/>
          <w:lang w:val="en-US"/>
        </w:rPr>
        <w:t xml:space="preserve"> (Fig. 1)</w:t>
      </w:r>
      <w:r w:rsidR="00DA16F5">
        <w:rPr>
          <w:color w:val="000000"/>
          <w:lang w:val="en-US"/>
        </w:rPr>
        <w:t>,</w:t>
      </w:r>
      <w:r w:rsidR="0098459D">
        <w:rPr>
          <w:color w:val="000000"/>
          <w:lang w:val="en-US"/>
        </w:rPr>
        <w:t xml:space="preserve"> confirmed by PERMANOVA, with a </w:t>
      </w:r>
      <w:r w:rsidR="0098459D" w:rsidRPr="0098459D">
        <w:rPr>
          <w:i/>
          <w:color w:val="000000"/>
          <w:lang w:val="en-US"/>
        </w:rPr>
        <w:t>p</w:t>
      </w:r>
      <w:r w:rsidR="0098459D">
        <w:rPr>
          <w:color w:val="000000"/>
          <w:lang w:val="en-US"/>
        </w:rPr>
        <w:t>-value of 0.008.</w:t>
      </w:r>
    </w:p>
    <w:p w14:paraId="588215A5" w14:textId="11852EF0" w:rsidR="009B2F80" w:rsidRPr="008B0B01" w:rsidRDefault="009B2F80" w:rsidP="009A6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</w:p>
    <w:p w14:paraId="3E4F3F33" w14:textId="3C0E6395" w:rsidR="009B2F80" w:rsidRDefault="00DA16F5" w:rsidP="009B2F80">
      <w:pPr>
        <w:ind w:firstLine="397"/>
        <w:jc w:val="center"/>
      </w:pPr>
      <w:r>
        <w:rPr>
          <w:noProof/>
          <w:lang w:val="en-US" w:eastAsia="zh-CN"/>
        </w:rPr>
        <w:drawing>
          <wp:inline distT="0" distB="0" distL="0" distR="0" wp14:anchorId="090BF5A0" wp14:editId="5F113A92">
            <wp:extent cx="2482850" cy="155085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61" cy="1576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66786A" w14:textId="69ED8BD7" w:rsidR="009B2F80" w:rsidRPr="00855288" w:rsidRDefault="00C82DF8" w:rsidP="00FF1903">
      <w:pPr>
        <w:jc w:val="center"/>
      </w:pPr>
      <w:r>
        <w:t>Fig</w:t>
      </w:r>
      <w:r w:rsidR="009B2F80" w:rsidRPr="006834C5">
        <w:t xml:space="preserve">. 1. </w:t>
      </w:r>
      <w:r w:rsidR="00DA16F5">
        <w:rPr>
          <w:color w:val="000000"/>
        </w:rPr>
        <w:t>PCA ordination plot (site scores)</w:t>
      </w:r>
      <w:r w:rsidR="00DA16F5">
        <w:rPr>
          <w:lang w:val="en-US"/>
        </w:rPr>
        <w:t xml:space="preserve"> and the result of PERMANOVA test</w:t>
      </w:r>
    </w:p>
    <w:p w14:paraId="1E9B13B1" w14:textId="6E74D680" w:rsidR="009B2F80" w:rsidRPr="008B0B01" w:rsidRDefault="009B2F80" w:rsidP="009A6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</w:p>
    <w:p w14:paraId="1355E8CF" w14:textId="23C49198" w:rsidR="00CB2F23" w:rsidRDefault="007A6FE1" w:rsidP="009A6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Con</w:t>
      </w:r>
      <w:r w:rsidR="00DA16F5">
        <w:rPr>
          <w:color w:val="000000"/>
          <w:lang w:val="en-US"/>
        </w:rPr>
        <w:t>sequently, the “fixed-fixed” null model was chosen to generate random</w:t>
      </w:r>
      <w:r w:rsidR="009533E0">
        <w:rPr>
          <w:color w:val="000000"/>
          <w:lang w:val="en-US"/>
        </w:rPr>
        <w:t>ly</w:t>
      </w:r>
      <w:r w:rsidR="00DA16F5">
        <w:rPr>
          <w:color w:val="000000"/>
          <w:lang w:val="en-US"/>
        </w:rPr>
        <w:t xml:space="preserve"> expect</w:t>
      </w:r>
      <w:r w:rsidR="009533E0">
        <w:rPr>
          <w:color w:val="000000"/>
          <w:lang w:val="en-US"/>
        </w:rPr>
        <w:t xml:space="preserve">ed </w:t>
      </w:r>
      <w:r w:rsidR="008D1E0E">
        <w:rPr>
          <w:color w:val="000000"/>
          <w:lang w:val="en-US"/>
        </w:rPr>
        <w:t>metacommunities</w:t>
      </w:r>
      <w:r w:rsidR="00DA16F5">
        <w:rPr>
          <w:color w:val="000000"/>
          <w:lang w:val="en-US"/>
        </w:rPr>
        <w:t>. Coherence,</w:t>
      </w:r>
      <w:r w:rsidR="006210BA">
        <w:rPr>
          <w:color w:val="000000"/>
          <w:lang w:val="en-US"/>
        </w:rPr>
        <w:t xml:space="preserve"> the first EMS to be investigated,</w:t>
      </w:r>
      <w:r w:rsidR="00DA16F5">
        <w:rPr>
          <w:color w:val="000000"/>
          <w:lang w:val="en-US"/>
        </w:rPr>
        <w:t xml:space="preserve"> </w:t>
      </w:r>
      <w:r w:rsidR="006210BA">
        <w:rPr>
          <w:color w:val="000000"/>
          <w:lang w:val="en-US"/>
        </w:rPr>
        <w:t>refers to the extent to which species in a metacommunity respond to the same gradient</w:t>
      </w:r>
      <w:r w:rsidR="00647899">
        <w:rPr>
          <w:color w:val="000000"/>
          <w:lang w:val="en-US"/>
        </w:rPr>
        <w:t xml:space="preserve"> (Leibold &amp; Mikkelson, 2002; Presley et al., 2010)</w:t>
      </w:r>
      <w:r w:rsidR="006210BA">
        <w:rPr>
          <w:color w:val="000000"/>
          <w:lang w:val="en-US"/>
        </w:rPr>
        <w:t xml:space="preserve">. This element is represented by the </w:t>
      </w:r>
      <w:r w:rsidR="0063269B">
        <w:rPr>
          <w:color w:val="000000"/>
          <w:lang w:val="en-US"/>
        </w:rPr>
        <w:t xml:space="preserve">total </w:t>
      </w:r>
      <w:r w:rsidR="006210BA">
        <w:rPr>
          <w:color w:val="000000"/>
          <w:lang w:val="en-US"/>
        </w:rPr>
        <w:t xml:space="preserve">number of embedded absences, the absences of </w:t>
      </w:r>
      <w:r w:rsidR="008D1E0E">
        <w:rPr>
          <w:color w:val="000000"/>
          <w:lang w:val="en-US"/>
        </w:rPr>
        <w:t xml:space="preserve">each </w:t>
      </w:r>
      <w:r w:rsidR="006210BA">
        <w:rPr>
          <w:color w:val="000000"/>
          <w:lang w:val="en-US"/>
        </w:rPr>
        <w:t xml:space="preserve">species </w:t>
      </w:r>
      <w:r w:rsidR="0063269B">
        <w:rPr>
          <w:color w:val="000000"/>
          <w:lang w:val="en-US"/>
        </w:rPr>
        <w:t>interrupting the</w:t>
      </w:r>
      <w:r w:rsidR="006210BA">
        <w:rPr>
          <w:color w:val="000000"/>
          <w:lang w:val="en-US"/>
        </w:rPr>
        <w:t xml:space="preserve"> species</w:t>
      </w:r>
      <w:r w:rsidR="008D1E0E">
        <w:rPr>
          <w:color w:val="000000"/>
          <w:lang w:val="en-US"/>
        </w:rPr>
        <w:t>’</w:t>
      </w:r>
      <w:r w:rsidR="006210BA">
        <w:rPr>
          <w:color w:val="000000"/>
          <w:lang w:val="en-US"/>
        </w:rPr>
        <w:t xml:space="preserve"> range</w:t>
      </w:r>
      <w:r w:rsidR="008D1E0E">
        <w:rPr>
          <w:color w:val="000000"/>
          <w:lang w:val="en-US"/>
        </w:rPr>
        <w:t xml:space="preserve"> (the array of sites where it occurs)</w:t>
      </w:r>
      <w:r w:rsidR="0063269B">
        <w:rPr>
          <w:color w:val="000000"/>
          <w:lang w:val="en-US"/>
        </w:rPr>
        <w:t xml:space="preserve"> in a</w:t>
      </w:r>
      <w:r w:rsidR="006210BA">
        <w:rPr>
          <w:color w:val="000000"/>
          <w:lang w:val="en-US"/>
        </w:rPr>
        <w:t xml:space="preserve"> re-ordered incidence matrix using reciprocal averaging</w:t>
      </w:r>
      <w:r w:rsidR="008D1E0E">
        <w:rPr>
          <w:color w:val="000000"/>
          <w:lang w:val="en-US"/>
        </w:rPr>
        <w:t xml:space="preserve"> (Leibold &amp; Mikkelson, 2002; Presley et al., 2010)</w:t>
      </w:r>
      <w:r w:rsidR="006210BA">
        <w:rPr>
          <w:color w:val="000000"/>
          <w:lang w:val="en-US"/>
        </w:rPr>
        <w:t xml:space="preserve">. </w:t>
      </w:r>
      <w:r w:rsidR="008D1E0E">
        <w:rPr>
          <w:color w:val="000000"/>
          <w:lang w:val="en-US"/>
        </w:rPr>
        <w:t xml:space="preserve">The </w:t>
      </w:r>
      <w:r w:rsidR="0063269B">
        <w:rPr>
          <w:color w:val="000000"/>
          <w:lang w:val="en-US"/>
        </w:rPr>
        <w:t>less</w:t>
      </w:r>
      <w:r w:rsidR="008D1E0E">
        <w:rPr>
          <w:color w:val="000000"/>
          <w:lang w:val="en-US"/>
        </w:rPr>
        <w:t xml:space="preserve"> embedded absences, the </w:t>
      </w:r>
      <w:r w:rsidR="0063269B">
        <w:rPr>
          <w:color w:val="000000"/>
          <w:lang w:val="en-US"/>
        </w:rPr>
        <w:t>high</w:t>
      </w:r>
      <w:r w:rsidR="008D1E0E">
        <w:rPr>
          <w:color w:val="000000"/>
          <w:lang w:val="en-US"/>
        </w:rPr>
        <w:t xml:space="preserve">er the coherence (Leibold &amp; Mikkelson, 2002; Presley et al., 2010). The </w:t>
      </w:r>
      <w:r w:rsidR="0063269B">
        <w:rPr>
          <w:color w:val="000000"/>
          <w:lang w:val="en-US"/>
        </w:rPr>
        <w:t xml:space="preserve">observed </w:t>
      </w:r>
      <w:r w:rsidR="008D1E0E">
        <w:rPr>
          <w:color w:val="000000"/>
          <w:lang w:val="en-US"/>
        </w:rPr>
        <w:t xml:space="preserve">number of embedded absences was compared with those expected by chance. </w:t>
      </w:r>
      <w:r w:rsidR="0063269B">
        <w:rPr>
          <w:color w:val="000000"/>
          <w:lang w:val="en-US"/>
        </w:rPr>
        <w:t xml:space="preserve">The results are </w:t>
      </w:r>
      <w:r w:rsidR="00DA16F5">
        <w:rPr>
          <w:color w:val="000000"/>
          <w:lang w:val="en-US"/>
        </w:rPr>
        <w:t>in Table. 1.</w:t>
      </w:r>
      <w:r w:rsidR="00C12903">
        <w:rPr>
          <w:color w:val="000000"/>
          <w:lang w:val="en-US"/>
        </w:rPr>
        <w:t xml:space="preserve"> The observation was significantly lower than </w:t>
      </w:r>
      <w:r w:rsidR="008D1E0E">
        <w:rPr>
          <w:color w:val="000000"/>
          <w:lang w:val="en-US"/>
        </w:rPr>
        <w:t>expected by chance</w:t>
      </w:r>
      <w:r w:rsidR="00C12903">
        <w:rPr>
          <w:color w:val="000000"/>
          <w:lang w:val="en-US"/>
        </w:rPr>
        <w:t xml:space="preserve">, suggesting </w:t>
      </w:r>
      <w:r w:rsidR="0063269B">
        <w:rPr>
          <w:color w:val="000000"/>
          <w:lang w:val="en-US"/>
        </w:rPr>
        <w:t>significantly high coherence</w:t>
      </w:r>
      <w:r w:rsidR="00647899">
        <w:rPr>
          <w:color w:val="000000"/>
          <w:lang w:val="en-US"/>
        </w:rPr>
        <w:t xml:space="preserve"> (Presley et al., 2010)</w:t>
      </w:r>
      <w:r w:rsidR="00C12903">
        <w:rPr>
          <w:color w:val="000000"/>
          <w:lang w:val="en-US"/>
        </w:rPr>
        <w:t>.</w:t>
      </w:r>
    </w:p>
    <w:p w14:paraId="78BCFC36" w14:textId="77777777" w:rsidR="00DA16F5" w:rsidRPr="004B23CE" w:rsidRDefault="00DA16F5" w:rsidP="009A6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0"/>
        <w:gridCol w:w="1551"/>
        <w:gridCol w:w="1551"/>
        <w:gridCol w:w="1551"/>
        <w:gridCol w:w="1551"/>
      </w:tblGrid>
      <w:tr w:rsidR="00C12903" w14:paraId="6697AB20" w14:textId="46052FAD" w:rsidTr="00C12903">
        <w:trPr>
          <w:jc w:val="center"/>
        </w:trPr>
        <w:tc>
          <w:tcPr>
            <w:tcW w:w="2260" w:type="dxa"/>
          </w:tcPr>
          <w:p w14:paraId="047E3847" w14:textId="77C7FB09" w:rsidR="00C12903" w:rsidRPr="00DA16F5" w:rsidRDefault="00C12903" w:rsidP="00C12903">
            <w:pPr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ru-RU"/>
              </w:rPr>
              <w:t>O</w:t>
            </w:r>
            <w:r>
              <w:rPr>
                <w:color w:val="000000"/>
                <w:lang w:val="en-US"/>
              </w:rPr>
              <w:t>bserved Embedded Absences</w:t>
            </w:r>
          </w:p>
        </w:tc>
        <w:tc>
          <w:tcPr>
            <w:tcW w:w="1551" w:type="dxa"/>
          </w:tcPr>
          <w:p w14:paraId="4642CF19" w14:textId="7C9EC565" w:rsidR="00C12903" w:rsidRDefault="00C12903" w:rsidP="00C12903">
            <w:pPr>
              <w:jc w:val="center"/>
              <w:rPr>
                <w:color w:val="000000"/>
                <w:lang w:val="ru-RU"/>
              </w:rPr>
            </w:pPr>
            <w:r>
              <w:rPr>
                <w:rFonts w:hint="eastAsia"/>
                <w:color w:val="000000"/>
                <w:lang w:val="ru-RU"/>
              </w:rPr>
              <w:t>z</w:t>
            </w:r>
          </w:p>
        </w:tc>
        <w:tc>
          <w:tcPr>
            <w:tcW w:w="1551" w:type="dxa"/>
          </w:tcPr>
          <w:p w14:paraId="49CC78E9" w14:textId="69C025E4" w:rsidR="00C12903" w:rsidRPr="0063269B" w:rsidRDefault="00C12903" w:rsidP="00C12903">
            <w:pPr>
              <w:jc w:val="center"/>
              <w:rPr>
                <w:i/>
                <w:color w:val="000000"/>
                <w:lang w:val="en-US"/>
              </w:rPr>
            </w:pPr>
            <w:r w:rsidRPr="0063269B">
              <w:rPr>
                <w:i/>
                <w:color w:val="000000"/>
                <w:lang w:val="en-US"/>
              </w:rPr>
              <w:t>p</w:t>
            </w:r>
          </w:p>
        </w:tc>
        <w:tc>
          <w:tcPr>
            <w:tcW w:w="1551" w:type="dxa"/>
          </w:tcPr>
          <w:p w14:paraId="499FAF9D" w14:textId="36C46BF6" w:rsidR="00C12903" w:rsidRPr="00C12903" w:rsidRDefault="00C12903" w:rsidP="00C12903">
            <w:pPr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ru-RU"/>
              </w:rPr>
              <w:t>S</w:t>
            </w:r>
            <w:r>
              <w:rPr>
                <w:color w:val="000000"/>
                <w:lang w:val="en-US"/>
              </w:rPr>
              <w:t>imulated Mean</w:t>
            </w:r>
          </w:p>
        </w:tc>
        <w:tc>
          <w:tcPr>
            <w:tcW w:w="1551" w:type="dxa"/>
          </w:tcPr>
          <w:p w14:paraId="5002C6E1" w14:textId="48DAC3C2" w:rsidR="00C12903" w:rsidRPr="00C12903" w:rsidRDefault="00C12903" w:rsidP="00C12903">
            <w:pPr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ru-RU"/>
              </w:rPr>
              <w:t>S</w:t>
            </w:r>
            <w:r>
              <w:rPr>
                <w:color w:val="000000"/>
                <w:lang w:val="en-US"/>
              </w:rPr>
              <w:t>imulated Variance</w:t>
            </w:r>
          </w:p>
        </w:tc>
      </w:tr>
      <w:tr w:rsidR="00C12903" w14:paraId="691B7602" w14:textId="15948713" w:rsidTr="00C12903">
        <w:trPr>
          <w:jc w:val="center"/>
        </w:trPr>
        <w:tc>
          <w:tcPr>
            <w:tcW w:w="2260" w:type="dxa"/>
          </w:tcPr>
          <w:p w14:paraId="638CE222" w14:textId="6393C579" w:rsidR="00C12903" w:rsidRPr="00C12903" w:rsidRDefault="00C12903" w:rsidP="00C12903">
            <w:pPr>
              <w:jc w:val="center"/>
              <w:rPr>
                <w:color w:val="000000"/>
                <w:lang w:val="en-US"/>
              </w:rPr>
            </w:pPr>
            <w:r w:rsidRPr="00DA16F5">
              <w:rPr>
                <w:color w:val="000000"/>
                <w:lang w:val="en-US"/>
              </w:rPr>
              <w:t>4.593</w:t>
            </w:r>
            <w:r>
              <w:rPr>
                <w:color w:val="000000"/>
                <w:lang w:val="en-US"/>
              </w:rPr>
              <w:t xml:space="preserve"> × 10</w:t>
            </w:r>
            <w:r>
              <w:rPr>
                <w:color w:val="000000"/>
                <w:vertAlign w:val="superscript"/>
                <w:lang w:val="en-US"/>
              </w:rPr>
              <w:t>3</w:t>
            </w:r>
          </w:p>
        </w:tc>
        <w:tc>
          <w:tcPr>
            <w:tcW w:w="1551" w:type="dxa"/>
          </w:tcPr>
          <w:p w14:paraId="566D9EA1" w14:textId="0429E8B6" w:rsidR="00C12903" w:rsidRPr="00C12903" w:rsidRDefault="00C12903" w:rsidP="00C12903">
            <w:pPr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ru-RU"/>
              </w:rPr>
              <w:t>-</w:t>
            </w:r>
            <w:r>
              <w:rPr>
                <w:color w:val="000000"/>
                <w:lang w:val="en-US"/>
              </w:rPr>
              <w:t>8.17</w:t>
            </w:r>
          </w:p>
        </w:tc>
        <w:tc>
          <w:tcPr>
            <w:tcW w:w="1551" w:type="dxa"/>
          </w:tcPr>
          <w:p w14:paraId="00D6512C" w14:textId="53058542" w:rsidR="00C12903" w:rsidRPr="00C12903" w:rsidRDefault="00C12903" w:rsidP="00C12903">
            <w:pPr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ru-RU"/>
              </w:rPr>
              <w:t>&lt;</w:t>
            </w:r>
            <w:r>
              <w:rPr>
                <w:color w:val="000000"/>
                <w:lang w:val="en-US"/>
              </w:rPr>
              <w:t xml:space="preserve"> 0.001</w:t>
            </w:r>
          </w:p>
        </w:tc>
        <w:tc>
          <w:tcPr>
            <w:tcW w:w="1551" w:type="dxa"/>
          </w:tcPr>
          <w:p w14:paraId="20D9CE51" w14:textId="5BAB4777" w:rsidR="00C12903" w:rsidRDefault="00C12903" w:rsidP="00C12903">
            <w:pPr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ru-RU"/>
              </w:rPr>
              <w:t>5</w:t>
            </w:r>
            <w:r>
              <w:rPr>
                <w:color w:val="000000"/>
                <w:lang w:val="en-US"/>
              </w:rPr>
              <w:t>.369 × 10</w:t>
            </w:r>
            <w:r>
              <w:rPr>
                <w:color w:val="000000"/>
                <w:vertAlign w:val="superscript"/>
                <w:lang w:val="en-US"/>
              </w:rPr>
              <w:t>3</w:t>
            </w:r>
          </w:p>
        </w:tc>
        <w:tc>
          <w:tcPr>
            <w:tcW w:w="1551" w:type="dxa"/>
          </w:tcPr>
          <w:p w14:paraId="7E0E9580" w14:textId="28916BC6" w:rsidR="00C12903" w:rsidRPr="00C12903" w:rsidRDefault="00C12903" w:rsidP="00C12903">
            <w:pPr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ru-RU"/>
              </w:rPr>
              <w:t>1</w:t>
            </w:r>
            <w:r>
              <w:rPr>
                <w:color w:val="000000"/>
                <w:lang w:val="en-US"/>
              </w:rPr>
              <w:t>.620</w:t>
            </w:r>
          </w:p>
        </w:tc>
      </w:tr>
    </w:tbl>
    <w:p w14:paraId="3E90222A" w14:textId="0F9EE454" w:rsidR="00FF1903" w:rsidRPr="009533E0" w:rsidRDefault="00FF1903" w:rsidP="009533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lang w:val="ru-RU"/>
        </w:rPr>
      </w:pPr>
    </w:p>
    <w:p w14:paraId="6F7CCE78" w14:textId="1C02772E" w:rsidR="00FF1903" w:rsidRDefault="00C12903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Table.1</w:t>
      </w:r>
      <w:r w:rsidR="00FF1903">
        <w:rPr>
          <w:color w:val="000000"/>
        </w:rPr>
        <w:t xml:space="preserve">. </w:t>
      </w:r>
      <w:r>
        <w:rPr>
          <w:color w:val="000000"/>
        </w:rPr>
        <w:t>Results of the investigation on metacommunity coherence</w:t>
      </w:r>
    </w:p>
    <w:p w14:paraId="4AFDC3C2" w14:textId="30874156" w:rsidR="00E22189" w:rsidRPr="008B0B01" w:rsidRDefault="00E22189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p w14:paraId="14B9A6A4" w14:textId="0F09457A" w:rsidR="00647899" w:rsidRDefault="00CF4799" w:rsidP="006478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ru-RU"/>
        </w:rPr>
      </w:pPr>
      <w:r w:rsidRPr="0054281E">
        <w:rPr>
          <w:color w:val="000000"/>
          <w:lang w:val="en-US"/>
        </w:rPr>
        <w:t xml:space="preserve">Further </w:t>
      </w:r>
      <w:r>
        <w:rPr>
          <w:color w:val="000000"/>
          <w:lang w:val="en-US"/>
        </w:rPr>
        <w:t>perspectives of this study are related</w:t>
      </w:r>
      <w:r w:rsidR="00447824" w:rsidRPr="0054281E">
        <w:rPr>
          <w:color w:val="000000"/>
          <w:lang w:val="en-US"/>
        </w:rPr>
        <w:t xml:space="preserve"> </w:t>
      </w:r>
      <w:r w:rsidR="00447824">
        <w:rPr>
          <w:color w:val="000000"/>
          <w:lang w:val="en-US"/>
        </w:rPr>
        <w:t>to the</w:t>
      </w:r>
      <w:r>
        <w:rPr>
          <w:color w:val="000000"/>
          <w:lang w:val="en-US"/>
        </w:rPr>
        <w:t xml:space="preserve"> analysis of </w:t>
      </w:r>
      <w:r w:rsidR="00C12903">
        <w:rPr>
          <w:color w:val="000000"/>
          <w:lang w:val="en-US"/>
        </w:rPr>
        <w:t>other EMS</w:t>
      </w:r>
      <w:r>
        <w:rPr>
          <w:color w:val="000000"/>
          <w:lang w:val="en-US"/>
        </w:rPr>
        <w:t>.</w:t>
      </w:r>
    </w:p>
    <w:p w14:paraId="6330A238" w14:textId="04A24738" w:rsidR="00647899" w:rsidRPr="00647899" w:rsidRDefault="00647899" w:rsidP="006326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ru-RU"/>
        </w:rPr>
      </w:pPr>
    </w:p>
    <w:p w14:paraId="0000000E" w14:textId="0398AC2A" w:rsidR="00130241" w:rsidRDefault="00C676F4" w:rsidP="00AA05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60" w:lineRule="exact"/>
        <w:jc w:val="center"/>
        <w:rPr>
          <w:color w:val="000000"/>
        </w:rPr>
      </w:pPr>
      <w:r>
        <w:rPr>
          <w:b/>
          <w:color w:val="000000"/>
        </w:rPr>
        <w:t>References</w:t>
      </w:r>
    </w:p>
    <w:p w14:paraId="26F343F5" w14:textId="77777777" w:rsidR="00C12903" w:rsidRPr="00C12903" w:rsidRDefault="00C12903" w:rsidP="00AA05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60" w:lineRule="exact"/>
        <w:jc w:val="both"/>
        <w:rPr>
          <w:color w:val="000000"/>
          <w:lang w:val="en-US"/>
        </w:rPr>
      </w:pPr>
      <w:r w:rsidRPr="00C12903">
        <w:rPr>
          <w:color w:val="000000"/>
          <w:lang w:val="en-US"/>
        </w:rPr>
        <w:t xml:space="preserve">1. Leibold M.A., Mikkelson G.M. Coherence, species turnover, and boundary clumping: Elements of meta‐community structure // Oikos. 2002. Т. 97. № 2. С. 237–250. </w:t>
      </w:r>
    </w:p>
    <w:p w14:paraId="478225A2" w14:textId="0E884E70" w:rsidR="005C70F7" w:rsidRPr="00647899" w:rsidRDefault="00C12903" w:rsidP="00AA05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60" w:lineRule="exact"/>
        <w:jc w:val="both"/>
        <w:rPr>
          <w:color w:val="000000"/>
          <w:lang w:val="ru-RU"/>
        </w:rPr>
      </w:pPr>
      <w:r w:rsidRPr="00C12903">
        <w:rPr>
          <w:color w:val="000000"/>
          <w:lang w:val="en-US"/>
        </w:rPr>
        <w:t xml:space="preserve">2. </w:t>
      </w:r>
      <w:bookmarkStart w:id="0" w:name="_GoBack"/>
      <w:bookmarkEnd w:id="0"/>
      <w:r w:rsidRPr="00C12903">
        <w:rPr>
          <w:color w:val="000000"/>
          <w:lang w:val="en-US"/>
        </w:rPr>
        <w:t>Presley S.J., Higgins C.L., Willig M.R. A comprehensive framework for the evaluation of Metacommunity Structure // Oikos.</w:t>
      </w:r>
      <w:r w:rsidR="00AA05FD">
        <w:rPr>
          <w:color w:val="000000"/>
          <w:lang w:val="en-US"/>
        </w:rPr>
        <w:t xml:space="preserve"> 2010. Т. 119. № 6. С. 908–917.</w:t>
      </w:r>
    </w:p>
    <w:sectPr w:rsidR="005C70F7" w:rsidRPr="00647899" w:rsidSect="00920DC2">
      <w:pgSz w:w="11906" w:h="16838" w:code="9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56322" w14:textId="77777777" w:rsidR="00D23B4F" w:rsidRDefault="00D23B4F" w:rsidP="00D20220">
      <w:r>
        <w:separator/>
      </w:r>
    </w:p>
  </w:endnote>
  <w:endnote w:type="continuationSeparator" w:id="0">
    <w:p w14:paraId="06CFA400" w14:textId="77777777" w:rsidR="00D23B4F" w:rsidRDefault="00D23B4F" w:rsidP="00D20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FC16E" w14:textId="77777777" w:rsidR="00D23B4F" w:rsidRDefault="00D23B4F" w:rsidP="00D20220">
      <w:r>
        <w:separator/>
      </w:r>
    </w:p>
  </w:footnote>
  <w:footnote w:type="continuationSeparator" w:id="0">
    <w:p w14:paraId="26248632" w14:textId="77777777" w:rsidR="00D23B4F" w:rsidRDefault="00D23B4F" w:rsidP="00D20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61B3F31"/>
    <w:multiLevelType w:val="hybridMultilevel"/>
    <w:tmpl w:val="8E6A0FBC"/>
    <w:lvl w:ilvl="0" w:tplc="9C38A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03E87"/>
    <w:rsid w:val="0001346D"/>
    <w:rsid w:val="00020E1E"/>
    <w:rsid w:val="00037FEB"/>
    <w:rsid w:val="00043525"/>
    <w:rsid w:val="00063966"/>
    <w:rsid w:val="00086081"/>
    <w:rsid w:val="000D11A3"/>
    <w:rsid w:val="000E54DA"/>
    <w:rsid w:val="00101A1C"/>
    <w:rsid w:val="00106375"/>
    <w:rsid w:val="00116478"/>
    <w:rsid w:val="00126689"/>
    <w:rsid w:val="00130241"/>
    <w:rsid w:val="00140E9C"/>
    <w:rsid w:val="00155044"/>
    <w:rsid w:val="001E61C2"/>
    <w:rsid w:val="001E6A4D"/>
    <w:rsid w:val="001E6DB9"/>
    <w:rsid w:val="001F0493"/>
    <w:rsid w:val="001F4CE5"/>
    <w:rsid w:val="002264EE"/>
    <w:rsid w:val="0023307C"/>
    <w:rsid w:val="00255BF5"/>
    <w:rsid w:val="0031646B"/>
    <w:rsid w:val="003638AE"/>
    <w:rsid w:val="00391C38"/>
    <w:rsid w:val="003B76D6"/>
    <w:rsid w:val="003F4EEF"/>
    <w:rsid w:val="00447824"/>
    <w:rsid w:val="004A26A3"/>
    <w:rsid w:val="004B23CE"/>
    <w:rsid w:val="004D02E6"/>
    <w:rsid w:val="004E4153"/>
    <w:rsid w:val="004F0EDF"/>
    <w:rsid w:val="005045DA"/>
    <w:rsid w:val="00511155"/>
    <w:rsid w:val="00522BF1"/>
    <w:rsid w:val="0054281E"/>
    <w:rsid w:val="0057226E"/>
    <w:rsid w:val="00587413"/>
    <w:rsid w:val="00590166"/>
    <w:rsid w:val="005C514F"/>
    <w:rsid w:val="005C70F7"/>
    <w:rsid w:val="005D0A5A"/>
    <w:rsid w:val="006210BA"/>
    <w:rsid w:val="0063269B"/>
    <w:rsid w:val="00647899"/>
    <w:rsid w:val="006D5A59"/>
    <w:rsid w:val="006F7A19"/>
    <w:rsid w:val="00714681"/>
    <w:rsid w:val="00770B38"/>
    <w:rsid w:val="00775389"/>
    <w:rsid w:val="00790BF7"/>
    <w:rsid w:val="00797838"/>
    <w:rsid w:val="007A6FE1"/>
    <w:rsid w:val="007B7C77"/>
    <w:rsid w:val="007C36D8"/>
    <w:rsid w:val="007C53F5"/>
    <w:rsid w:val="007F2744"/>
    <w:rsid w:val="00815F87"/>
    <w:rsid w:val="00855288"/>
    <w:rsid w:val="008931BE"/>
    <w:rsid w:val="00895A26"/>
    <w:rsid w:val="008B0B01"/>
    <w:rsid w:val="008B6963"/>
    <w:rsid w:val="008D1E0E"/>
    <w:rsid w:val="008F68B4"/>
    <w:rsid w:val="00920DC2"/>
    <w:rsid w:val="00921D45"/>
    <w:rsid w:val="009533E0"/>
    <w:rsid w:val="0098459D"/>
    <w:rsid w:val="009A66DB"/>
    <w:rsid w:val="009B2F80"/>
    <w:rsid w:val="009C6079"/>
    <w:rsid w:val="009F3380"/>
    <w:rsid w:val="00A02163"/>
    <w:rsid w:val="00A314FE"/>
    <w:rsid w:val="00A86DC2"/>
    <w:rsid w:val="00AA05FD"/>
    <w:rsid w:val="00AB43A6"/>
    <w:rsid w:val="00AE59A4"/>
    <w:rsid w:val="00AE7138"/>
    <w:rsid w:val="00B3664A"/>
    <w:rsid w:val="00B87612"/>
    <w:rsid w:val="00BC0A45"/>
    <w:rsid w:val="00BD139C"/>
    <w:rsid w:val="00BE18A7"/>
    <w:rsid w:val="00BF36F8"/>
    <w:rsid w:val="00BF4622"/>
    <w:rsid w:val="00C12903"/>
    <w:rsid w:val="00C25B61"/>
    <w:rsid w:val="00C34EDF"/>
    <w:rsid w:val="00C44442"/>
    <w:rsid w:val="00C50E23"/>
    <w:rsid w:val="00C676F4"/>
    <w:rsid w:val="00C82DF8"/>
    <w:rsid w:val="00CA1FCE"/>
    <w:rsid w:val="00CA2BF4"/>
    <w:rsid w:val="00CB2F23"/>
    <w:rsid w:val="00CF4799"/>
    <w:rsid w:val="00D02C82"/>
    <w:rsid w:val="00D07A0B"/>
    <w:rsid w:val="00D20220"/>
    <w:rsid w:val="00D2194B"/>
    <w:rsid w:val="00D23B4F"/>
    <w:rsid w:val="00D25839"/>
    <w:rsid w:val="00D42542"/>
    <w:rsid w:val="00D8121C"/>
    <w:rsid w:val="00D86BB8"/>
    <w:rsid w:val="00DA16F5"/>
    <w:rsid w:val="00DD58FD"/>
    <w:rsid w:val="00DE13B0"/>
    <w:rsid w:val="00E22189"/>
    <w:rsid w:val="00E303A4"/>
    <w:rsid w:val="00E44B79"/>
    <w:rsid w:val="00E52920"/>
    <w:rsid w:val="00E52E94"/>
    <w:rsid w:val="00EB1F49"/>
    <w:rsid w:val="00ED3DA3"/>
    <w:rsid w:val="00F37BD9"/>
    <w:rsid w:val="00F865B3"/>
    <w:rsid w:val="00F874F5"/>
    <w:rsid w:val="00FA0E72"/>
    <w:rsid w:val="00FB1509"/>
    <w:rsid w:val="00FF1903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lang w:val="en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95A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5A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5A26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A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A26"/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A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A2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202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20220"/>
    <w:rPr>
      <w:rFonts w:ascii="Times New Roman" w:eastAsia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2022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20220"/>
    <w:rPr>
      <w:rFonts w:ascii="Times New Roman" w:eastAsia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DA1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120230021@smb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9856CE-9EE6-4A75-99D8-4CD20F343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Qihan Zhu</dc:creator>
  <cp:lastModifiedBy>Qihan Zhu</cp:lastModifiedBy>
  <cp:revision>2</cp:revision>
  <dcterms:created xsi:type="dcterms:W3CDTF">2025-03-14T14:26:00Z</dcterms:created>
  <dcterms:modified xsi:type="dcterms:W3CDTF">2025-03-14T14:26:00Z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