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b/>
          <w:color w:val="000000"/>
        </w:rPr>
        <w:t>Study of the Toxic Effects of Cu²⁺, Ag⁺ Ions, and Silver Nanoparticles on the Primary Processes of Photosynthesis and the Electron Transport Chain in the Freshwater Microalga Scenedesmus quadricauda Using Spectral Methods</w:t>
      </w:r>
    </w:p>
    <w:p w14:paraId="00000002">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eastAsia="宋体"/>
          <w:b/>
          <w:i/>
          <w:color w:val="000000"/>
          <w:lang w:val="en-US" w:eastAsia="zh-CN"/>
        </w:rPr>
        <w:t>Lin Denglei</w:t>
      </w:r>
      <w:r>
        <w:rPr>
          <w:b/>
          <w:i/>
          <w:color w:val="000000"/>
          <w:vertAlign w:val="superscript"/>
        </w:rPr>
        <w:t>1</w:t>
      </w:r>
      <w:r>
        <w:rPr>
          <w:b/>
          <w:i/>
          <w:color w:val="000000"/>
        </w:rPr>
        <w:t xml:space="preserve">, </w:t>
      </w:r>
      <w:r>
        <w:rPr>
          <w:rFonts w:hint="eastAsia" w:eastAsia="宋体"/>
          <w:b/>
          <w:i/>
          <w:color w:val="000000"/>
          <w:lang w:val="en-US" w:eastAsia="zh-CN"/>
        </w:rPr>
        <w:t>Pirutin S</w:t>
      </w:r>
      <w:r>
        <w:rPr>
          <w:b/>
          <w:i/>
          <w:color w:val="000000"/>
        </w:rPr>
        <w:t>.</w:t>
      </w:r>
      <w:r>
        <w:rPr>
          <w:rFonts w:hint="eastAsia" w:eastAsia="宋体"/>
          <w:b/>
          <w:i/>
          <w:color w:val="000000"/>
          <w:lang w:val="en-US" w:eastAsia="zh-CN"/>
        </w:rPr>
        <w:t>K.</w:t>
      </w:r>
      <w:r>
        <w:rPr>
          <w:b/>
          <w:i/>
          <w:color w:val="000000"/>
          <w:vertAlign w:val="superscript"/>
        </w:rPr>
        <w:t>1,2</w:t>
      </w:r>
      <w:r>
        <w:rPr>
          <w:b/>
          <w:color w:val="000000"/>
        </w:rPr>
        <w:t xml:space="preserve"> </w:t>
      </w:r>
    </w:p>
    <w:p w14:paraId="00000003">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i/>
          <w:color w:val="000000"/>
        </w:rPr>
        <w:t>Second year master's student</w:t>
      </w:r>
    </w:p>
    <w:p w14:paraId="1C31738C">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eastAsia"/>
          <w:i/>
          <w:color w:val="000000"/>
        </w:rPr>
      </w:pPr>
      <w:r>
        <w:rPr>
          <w:i/>
          <w:color w:val="000000"/>
          <w:vertAlign w:val="superscript"/>
        </w:rPr>
        <w:t>1</w:t>
      </w:r>
      <w:r>
        <w:rPr>
          <w:rFonts w:hint="eastAsia"/>
          <w:i/>
          <w:color w:val="000000"/>
        </w:rPr>
        <w:t xml:space="preserve">Shenzhen MSU-BIT University, </w:t>
      </w:r>
    </w:p>
    <w:p w14:paraId="00000005">
      <w:pPr>
        <w:pBdr>
          <w:top w:val="none" w:color="auto" w:sz="0" w:space="0"/>
          <w:left w:val="none" w:color="auto" w:sz="0" w:space="0"/>
          <w:bottom w:val="none" w:color="auto" w:sz="0" w:space="0"/>
          <w:right w:val="none" w:color="auto" w:sz="0" w:space="0"/>
          <w:between w:val="none" w:color="auto" w:sz="0" w:space="0"/>
        </w:pBdr>
        <w:shd w:val="clear" w:color="auto" w:fill="FFFFFF"/>
        <w:jc w:val="center"/>
        <w:rPr>
          <w:color w:val="000000"/>
        </w:rPr>
      </w:pPr>
      <w:r>
        <w:rPr>
          <w:rFonts w:hint="eastAsia"/>
          <w:i/>
          <w:color w:val="000000"/>
        </w:rPr>
        <w:t xml:space="preserve">faculty of biology, Shenzhen, China </w:t>
      </w:r>
      <w:r>
        <w:rPr>
          <w:i/>
          <w:color w:val="000000"/>
        </w:rPr>
        <w:t xml:space="preserve"> </w:t>
      </w:r>
    </w:p>
    <w:p w14:paraId="6DEA4D4B">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eastAsia"/>
          <w:i/>
          <w:color w:val="000000"/>
        </w:rPr>
      </w:pPr>
      <w:r>
        <w:rPr>
          <w:i/>
          <w:color w:val="000000"/>
          <w:vertAlign w:val="superscript"/>
        </w:rPr>
        <w:t>2</w:t>
      </w:r>
      <w:r>
        <w:rPr>
          <w:rFonts w:hint="eastAsia"/>
          <w:i/>
          <w:color w:val="000000"/>
        </w:rPr>
        <w:t xml:space="preserve">Lomonosov Moscow State University,  </w:t>
      </w:r>
    </w:p>
    <w:p w14:paraId="3C53A72E">
      <w:pPr>
        <w:pBdr>
          <w:top w:val="none" w:color="auto" w:sz="0" w:space="0"/>
          <w:left w:val="none" w:color="auto" w:sz="0" w:space="0"/>
          <w:bottom w:val="none" w:color="auto" w:sz="0" w:space="0"/>
          <w:right w:val="none" w:color="auto" w:sz="0" w:space="0"/>
          <w:between w:val="none" w:color="auto" w:sz="0" w:space="0"/>
        </w:pBdr>
        <w:shd w:val="clear" w:color="auto" w:fill="FFFFFF"/>
        <w:jc w:val="center"/>
        <w:rPr>
          <w:i/>
          <w:color w:val="000000"/>
          <w:highlight w:val="yellow"/>
        </w:rPr>
      </w:pPr>
      <w:r>
        <w:rPr>
          <w:rFonts w:hint="eastAsia"/>
          <w:i/>
          <w:color w:val="000000"/>
        </w:rPr>
        <w:t>Faculty of Biology, Moscow, Russia</w:t>
      </w:r>
    </w:p>
    <w:p w14:paraId="1ADA4293">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center"/>
        <w:rPr>
          <w:i/>
          <w:color w:val="000000"/>
        </w:rPr>
      </w:pPr>
      <w:r>
        <w:rPr>
          <w:i/>
          <w:color w:val="000000"/>
        </w:rPr>
        <w:t xml:space="preserve">E-mail: </w:t>
      </w:r>
      <w:r>
        <w:rPr>
          <w:rFonts w:hint="eastAsia"/>
          <w:i/>
          <w:color w:val="000000"/>
          <w:lang w:val="en-US" w:eastAsia="zh-CN"/>
        </w:rPr>
        <w:t>1152760822@qq.com</w:t>
      </w:r>
    </w:p>
    <w:p w14:paraId="439236A6">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The significant growth of new technologies for the production of various man-made materials has led to the emergence of a large number of new xenobiotics, which exhibit considerable toxicity to different organisms in ecosystems. Among the most toxic are heavy metals (particularly copper and silver) when they enter ecosystems, either in ionic form or as nanoparticles. These toxicants pose a particular threat when they enter aqu</w:t>
      </w:r>
      <w:bookmarkStart w:id="0" w:name="_GoBack"/>
      <w:bookmarkEnd w:id="0"/>
      <w:r>
        <w:rPr>
          <w:rFonts w:hint="eastAsia"/>
          <w:color w:val="000000"/>
        </w:rPr>
        <w:t xml:space="preserve">atic ecosystems. Conventional monitoring methods for assessing pollution risks often detect toxic effects only at later stages of exposure, when they manifest as a significant decline in population numbers or substantial morphological changes in organisms.  </w:t>
      </w:r>
    </w:p>
    <w:p w14:paraId="30C27D0E">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 xml:space="preserve">To identify the toxic effects of various xenobiotics at the early stages of their impact on ecosystem components, biophysical methods, particularly spectral methods, are among the most promising approaches. Additionally, detecting such early effects is best achieved using organisms that are highly sensitive to such influences—so-called marker organisms. Photosynthetic membranes of aquatic photosynthetic microorganisms exhibit significant sensitivity to various pollutants, particularly heavy metals. One such marker organism is the freshwater microalga Scenedesmus quadricauda.  </w:t>
      </w:r>
    </w:p>
    <w:p w14:paraId="724DEB75">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 xml:space="preserve">The aim of this study was to investigate the effects of Cu²⁺, Ag⁺ ions, and silver nanoparticles on the primary processes of photosynthesis and the electron transport chain in the freshwater microalga Scenedesmus quadricauda using spectral methods.  </w:t>
      </w:r>
    </w:p>
    <w:p w14:paraId="3ED4115A">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 xml:space="preserve">The study employed several methods, including absorption spectroscopy, chlorophyll a fluorescence analysis, Raman spectroscopy, and scanning electron microscopy (SEM).  </w:t>
      </w:r>
    </w:p>
    <w:p w14:paraId="2ABA0054">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The results of the study demonstrated a dose-dependent reduction in the content of pigments such as chlorophyll a and carotenoids in the photosynthetic membranes of</w:t>
      </w:r>
      <w:r>
        <w:rPr>
          <w:rFonts w:hint="eastAsia" w:eastAsia="宋体"/>
          <w:color w:val="000000"/>
          <w:lang w:val="en-US" w:eastAsia="zh-CN"/>
        </w:rPr>
        <w:t xml:space="preserve"> </w:t>
      </w:r>
      <w:r>
        <w:rPr>
          <w:rFonts w:hint="eastAsia"/>
          <w:color w:val="000000"/>
        </w:rPr>
        <w:t xml:space="preserve">Scenedesmus quadricauda cells exposed to copper ions, silver ions, and silver nanoparticles. Analysis of rapid fluorescence kinetics (OJIP curves) of microalgal cell suspensions also revealed a dose-dependent decrease in fluorescence parameters at key points of the measured curves. Raman spectroscopy of individual cells indicated a reduction in carotenoid content under the influence of these toxicants.  </w:t>
      </w:r>
    </w:p>
    <w:p w14:paraId="311E1173">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rFonts w:hint="eastAsia"/>
          <w:color w:val="000000"/>
        </w:rPr>
      </w:pPr>
      <w:r>
        <w:rPr>
          <w:rFonts w:hint="eastAsia"/>
          <w:color w:val="000000"/>
        </w:rPr>
        <w:t xml:space="preserve">Scanning electron microscopy revealed damage to the microalgal cell wall upon exposure to silver, both in nanoparticle and ionic forms. We believe that these morphological changes are associated with the generation of reactive oxygen species (ROS) by these toxicants. In contrast, copper ions did not cause visible morphological alterations in the cells.  </w:t>
      </w:r>
    </w:p>
    <w:p w14:paraId="022FC08C">
      <w:pPr>
        <w:pBdr>
          <w:top w:val="none" w:color="auto" w:sz="0" w:space="0"/>
          <w:left w:val="none" w:color="auto" w:sz="0" w:space="0"/>
          <w:bottom w:val="none" w:color="auto" w:sz="0" w:space="0"/>
          <w:right w:val="none" w:color="auto" w:sz="0" w:space="0"/>
          <w:between w:val="none" w:color="auto" w:sz="0" w:space="0"/>
        </w:pBdr>
        <w:shd w:val="clear" w:color="auto" w:fill="FFFFFF"/>
        <w:ind w:firstLine="397"/>
        <w:jc w:val="both"/>
        <w:rPr>
          <w:i/>
          <w:iCs/>
          <w:color w:val="000000"/>
        </w:rPr>
      </w:pPr>
      <w:r>
        <w:rPr>
          <w:rFonts w:hint="eastAsia"/>
          <w:color w:val="000000"/>
        </w:rPr>
        <w:t>Analysis of the obtained data indicates the toxic effects of the studied xenobiotics on various segments of the electron transport chain (ETC) within the photosynthetic membranes of Scenedesmus quadricauda cells. The findings also suggest differences in the mechanisms of copper and silver toxicity in algal cells.</w:t>
      </w:r>
    </w:p>
    <w:p w14:paraId="0000000E">
      <w:pPr>
        <w:pBdr>
          <w:top w:val="none" w:color="auto" w:sz="0" w:space="0"/>
          <w:left w:val="none" w:color="auto" w:sz="0" w:space="0"/>
          <w:bottom w:val="none" w:color="auto" w:sz="0" w:space="0"/>
          <w:right w:val="none" w:color="auto" w:sz="0" w:space="0"/>
          <w:between w:val="none" w:color="auto" w:sz="0" w:space="0"/>
        </w:pBdr>
        <w:shd w:val="clear" w:color="auto" w:fill="FFFFFF"/>
        <w:jc w:val="center"/>
        <w:rPr>
          <w:rFonts w:hint="default" w:eastAsia="宋体"/>
          <w:color w:val="000000"/>
          <w:lang w:val="en-US" w:eastAsia="zh-CN"/>
        </w:rPr>
      </w:pPr>
      <w:r>
        <w:rPr>
          <w:rFonts w:hint="eastAsia" w:eastAsia="宋体"/>
          <w:b/>
          <w:color w:val="000000"/>
          <w:lang w:val="en-US" w:eastAsia="zh-CN"/>
        </w:rPr>
        <w:t>References</w:t>
      </w:r>
    </w:p>
    <w:p w14:paraId="0C4BC4CC">
      <w:pPr>
        <w:pBdr>
          <w:top w:val="none" w:color="auto" w:sz="0" w:space="0"/>
          <w:left w:val="none" w:color="auto" w:sz="0" w:space="0"/>
          <w:bottom w:val="none" w:color="auto" w:sz="0" w:space="0"/>
          <w:right w:val="none" w:color="auto" w:sz="0" w:space="0"/>
          <w:between w:val="none" w:color="auto" w:sz="0" w:space="0"/>
        </w:pBdr>
        <w:shd w:val="clear" w:color="auto" w:fill="FFFFFF"/>
        <w:jc w:val="both"/>
        <w:rPr>
          <w:rFonts w:ascii="Times New Roman" w:hAnsi="Times New Roman" w:eastAsia="Times New Roman" w:cs="Times New Roman"/>
          <w:lang w:val="en-US"/>
        </w:rPr>
      </w:pPr>
      <w:r>
        <w:rPr>
          <w:color w:val="000000"/>
          <w:lang w:val="en-US"/>
        </w:rPr>
        <w:t>1.</w:t>
      </w:r>
      <w:r>
        <w:rPr>
          <w:rFonts w:ascii="Times New Roman" w:hAnsi="Times New Roman" w:eastAsia="Times New Roman" w:cs="Times New Roman"/>
          <w:lang w:val="en-US"/>
        </w:rPr>
        <w:t xml:space="preserve"> Costa, C.; Teixeira, J.P. Biomonitoring. In Encyclopedia of Toxicology (Third Edition), Wexler, P., Ed.; Academic Press: Oxford, 2014; pp. 483-484.</w:t>
      </w:r>
    </w:p>
    <w:p w14:paraId="3486C755">
      <w:pPr>
        <w:pBdr>
          <w:top w:val="none" w:color="auto" w:sz="0" w:space="0"/>
          <w:left w:val="none" w:color="auto" w:sz="0" w:space="0"/>
          <w:bottom w:val="none" w:color="auto" w:sz="0" w:space="0"/>
          <w:right w:val="none" w:color="auto" w:sz="0" w:space="0"/>
          <w:between w:val="none" w:color="auto" w:sz="0" w:space="0"/>
        </w:pBdr>
        <w:shd w:val="clear" w:color="auto" w:fill="FFFFFF"/>
        <w:jc w:val="both"/>
        <w:rPr>
          <w:color w:val="000000"/>
          <w:lang w:val="en-US"/>
        </w:rPr>
      </w:pPr>
      <w:r>
        <w:rPr>
          <w:color w:val="000000"/>
          <w:lang w:val="en-US"/>
        </w:rPr>
        <w:t>2</w:t>
      </w:r>
      <w:r>
        <w:rPr>
          <w:rFonts w:ascii="Times New Roman" w:hAnsi="Times New Roman" w:eastAsia="Times New Roman" w:cs="Times New Roman"/>
          <w:lang w:val="en-US"/>
        </w:rPr>
        <w:t xml:space="preserve">. </w:t>
      </w:r>
      <w:r>
        <w:rPr>
          <w:rFonts w:hint="eastAsia" w:ascii="Times New Roman" w:hAnsi="Times New Roman" w:eastAsia="Times New Roman" w:cs="Times New Roman"/>
          <w:lang w:val="en-US"/>
        </w:rPr>
        <w:t>Apkin R.N., Minakova E.A. Environmental Monitoring: A Textbook / 2nd edition, revised and supplemented. – Kazan: Kazan State Power Engineering University, 2015. – 127 pages.</w:t>
      </w:r>
    </w:p>
    <w:sectPr>
      <w:pgSz w:w="11906" w:h="16838"/>
      <w:pgMar w:top="1134" w:right="1361" w:bottom="1134"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EFF" w:usb1="C000785B" w:usb2="00000009" w:usb3="00000000" w:csb0="400001FF" w:csb1="FFFF0000"/>
  </w:font>
  <w:font w:name="TimesNewRomanPSMT">
    <w:altName w:val="MS Gothic"/>
    <w:panose1 w:val="00000000000000000000"/>
    <w:charset w:val="0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31361E"/>
    <w:rsid w:val="00391C38"/>
    <w:rsid w:val="003B76D6"/>
    <w:rsid w:val="003E2601"/>
    <w:rsid w:val="003F4E6B"/>
    <w:rsid w:val="004A26A3"/>
    <w:rsid w:val="004F0EDF"/>
    <w:rsid w:val="00522BF1"/>
    <w:rsid w:val="00590166"/>
    <w:rsid w:val="005D022B"/>
    <w:rsid w:val="005E5BE9"/>
    <w:rsid w:val="0069427D"/>
    <w:rsid w:val="006F7A19"/>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D7380"/>
    <w:rsid w:val="00BF36F8"/>
    <w:rsid w:val="00BF4622"/>
    <w:rsid w:val="00C844E2"/>
    <w:rsid w:val="00CD00B1"/>
    <w:rsid w:val="00D22306"/>
    <w:rsid w:val="00D42542"/>
    <w:rsid w:val="00D8121C"/>
    <w:rsid w:val="00E22189"/>
    <w:rsid w:val="00E74069"/>
    <w:rsid w:val="00E81D35"/>
    <w:rsid w:val="00EB1F49"/>
    <w:rsid w:val="00F865B3"/>
    <w:rsid w:val="00FB1509"/>
    <w:rsid w:val="00FF1903"/>
    <w:rsid w:val="1C427968"/>
    <w:rsid w:val="7D2A2F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qFormat/>
    <w:uiPriority w:val="0"/>
    <w:tblPr>
      <w:tblCellMar>
        <w:top w:w="0" w:type="dxa"/>
        <w:left w:w="0" w:type="dxa"/>
        <w:bottom w:w="0" w:type="dxa"/>
        <w:right w:w="0" w:type="dxa"/>
      </w:tblCellMar>
    </w:tblPr>
  </w:style>
  <w:style w:type="paragraph" w:styleId="14">
    <w:name w:val="List Paragraph"/>
    <w:basedOn w:val="1"/>
    <w:link w:val="15"/>
    <w:qFormat/>
    <w:uiPriority w:val="34"/>
    <w:pPr>
      <w:ind w:left="720"/>
      <w:contextualSpacing/>
    </w:pPr>
  </w:style>
  <w:style w:type="character" w:customStyle="1" w:styleId="15">
    <w:name w:val="Абзац списка Знак"/>
    <w:basedOn w:val="11"/>
    <w:link w:val="14"/>
    <w:qFormat/>
    <w:locked/>
    <w:uiPriority w:val="34"/>
  </w:style>
  <w:style w:type="character" w:styleId="16">
    <w:name w:val="Placeholder Text"/>
    <w:basedOn w:val="11"/>
    <w:semiHidden/>
    <w:uiPriority w:val="99"/>
    <w:rPr>
      <w:color w:val="808080"/>
    </w:rPr>
  </w:style>
  <w:style w:type="paragraph" w:styleId="17">
    <w:name w:val="No Spacing"/>
    <w:qFormat/>
    <w:uiPriority w:val="1"/>
    <w:rPr>
      <w:rFonts w:ascii="Calibri" w:hAnsi="Calibri" w:eastAsia="Calibri" w:cs="Times New Roman"/>
      <w:sz w:val="22"/>
      <w:szCs w:val="22"/>
      <w:lang w:val="en-US" w:eastAsia="en-US" w:bidi="en-US"/>
    </w:rPr>
  </w:style>
  <w:style w:type="character" w:customStyle="1" w:styleId="18">
    <w:name w:val="Unresolved Mention"/>
    <w:basedOn w:val="11"/>
    <w:semiHidden/>
    <w:unhideWhenUsed/>
    <w:qFormat/>
    <w:uiPriority w:val="99"/>
    <w:rPr>
      <w:color w:val="605E5C"/>
      <w:shd w:val="clear" w:color="auto" w:fill="E1DFDD"/>
    </w:rPr>
  </w:style>
  <w:style w:type="paragraph" w:customStyle="1" w:styleId="19">
    <w:name w:val="Revision"/>
    <w:hidden/>
    <w:semiHidden/>
    <w:qFormat/>
    <w:uiPriority w:val="99"/>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datastoreItem>
</file>

<file path=docProps/app.xml><?xml version="1.0" encoding="utf-8"?>
<Properties xmlns="http://schemas.openxmlformats.org/officeDocument/2006/extended-properties" xmlns:vt="http://schemas.openxmlformats.org/officeDocument/2006/docPropsVTypes">
  <Template>Normal.dotm</Template>
  <Company>Lomonosov MSU</Company>
  <Pages>1</Pages>
  <Words>805</Words>
  <Characters>4782</Characters>
  <Lines>40</Lines>
  <Paragraphs>11</Paragraphs>
  <TotalTime>1</TotalTime>
  <ScaleCrop>false</ScaleCrop>
  <LinksUpToDate>false</LinksUpToDate>
  <CharactersWithSpaces>5509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dc:creator>Lenovo</dc:creator>
  <cp:lastModifiedBy>三浪QAQ</cp:lastModifiedBy>
  <dcterms:modified xsi:type="dcterms:W3CDTF">2025-03-14T14:36:29Z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TemplateDocerSaveRecord">
    <vt:lpwstr>eyJoZGlkIjoiY2JjYzk2MzE4NmVjZGZiODcyOTRlYjZiNzM4YjkxOWMiLCJ1c2VySWQiOiI1MDc2MTE3NjYifQ==</vt:lpwstr>
  </property>
  <property fmtid="{D5CDD505-2E9C-101B-9397-08002B2CF9AE}" pid="26" name="KSOProductBuildVer">
    <vt:lpwstr>2052-12.1.0.20305</vt:lpwstr>
  </property>
  <property fmtid="{D5CDD505-2E9C-101B-9397-08002B2CF9AE}" pid="27" name="ICV">
    <vt:lpwstr>8D6A3D199DD14C56BBC28BE1FF4B95E3_13</vt:lpwstr>
  </property>
</Properties>
</file>