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rPr>
      </w:pPr>
      <w:r>
        <w:rPr>
          <w:rFonts w:ascii="Times New Roman" w:hAnsi="Times New Roman" w:cs="Times New Roman"/>
          <w:b/>
          <w:bCs/>
          <w:sz w:val="24"/>
        </w:rPr>
        <w:t>Mapping of soil biodiversity in watersheds of Shenzhen and Dongguan</w:t>
      </w:r>
    </w:p>
    <w:p>
      <w:pPr>
        <w:jc w:val="center"/>
        <w:rPr>
          <w:rFonts w:ascii="Times New Roman" w:hAnsi="Times New Roman" w:cs="Times New Roman"/>
          <w:b/>
          <w:bCs/>
          <w:sz w:val="24"/>
        </w:rPr>
      </w:pPr>
      <w:r>
        <w:rPr>
          <w:rFonts w:ascii="Times New Roman" w:hAnsi="Times New Roman" w:cs="Times New Roman"/>
          <w:b/>
          <w:bCs/>
          <w:sz w:val="24"/>
        </w:rPr>
        <w:t>Li Xinran</w:t>
      </w:r>
      <w:r>
        <w:rPr>
          <w:rFonts w:ascii="Times New Roman" w:hAnsi="Times New Roman" w:cs="Times New Roman"/>
          <w:b/>
          <w:bCs/>
          <w:sz w:val="24"/>
          <w:vertAlign w:val="superscript"/>
        </w:rPr>
        <w:t>1,2</w:t>
      </w:r>
      <w:r>
        <w:rPr>
          <w:rFonts w:ascii="Times New Roman" w:hAnsi="Times New Roman" w:cs="Times New Roman"/>
          <w:b/>
          <w:bCs/>
          <w:sz w:val="24"/>
        </w:rPr>
        <w:t xml:space="preserve"> , Kriuchkov Nikita</w:t>
      </w:r>
      <w:r>
        <w:rPr>
          <w:rFonts w:ascii="Times New Roman" w:hAnsi="Times New Roman" w:cs="Times New Roman"/>
          <w:b/>
          <w:bCs/>
          <w:sz w:val="24"/>
          <w:vertAlign w:val="superscript"/>
        </w:rPr>
        <w:t xml:space="preserve"> 1,2</w:t>
      </w:r>
    </w:p>
    <w:p>
      <w:pPr>
        <w:jc w:val="center"/>
        <w:rPr>
          <w:rFonts w:ascii="Times New Roman" w:hAnsi="Times New Roman" w:cs="Times New Roman"/>
          <w:b/>
          <w:bCs/>
          <w:sz w:val="24"/>
          <w:vertAlign w:val="superscript"/>
        </w:rPr>
      </w:pPr>
      <w:r>
        <w:rPr>
          <w:rFonts w:ascii="Times New Roman" w:hAnsi="Times New Roman" w:cs="Times New Roman"/>
          <w:i/>
          <w:color w:val="000000"/>
          <w:sz w:val="24"/>
        </w:rPr>
        <w:t xml:space="preserve">Student, </w:t>
      </w:r>
      <w:r>
        <w:rPr>
          <w:rFonts w:hint="eastAsia" w:ascii="Times New Roman" w:hAnsi="Times New Roman" w:cs="Times New Roman"/>
          <w:i/>
          <w:color w:val="000000"/>
          <w:sz w:val="24"/>
        </w:rPr>
        <w:t>2nd</w:t>
      </w:r>
      <w:r>
        <w:rPr>
          <w:rFonts w:ascii="Times New Roman" w:hAnsi="Times New Roman" w:cs="Times New Roman"/>
          <w:i/>
          <w:color w:val="000000"/>
          <w:sz w:val="24"/>
        </w:rPr>
        <w:t xml:space="preserve"> year of</w:t>
      </w:r>
      <w:r>
        <w:rPr>
          <w:rFonts w:hint="eastAsia" w:ascii="Times New Roman" w:hAnsi="Times New Roman" w:cs="Times New Roman"/>
          <w:i/>
          <w:color w:val="000000"/>
          <w:sz w:val="24"/>
        </w:rPr>
        <w:t xml:space="preserve"> </w:t>
      </w:r>
      <w:r>
        <w:rPr>
          <w:rFonts w:ascii="Times New Roman" w:hAnsi="Times New Roman" w:cs="Times New Roman"/>
          <w:i/>
          <w:color w:val="000000"/>
          <w:sz w:val="24"/>
        </w:rPr>
        <w:t>the Global Change Ecology And Novel Ecosystems</w:t>
      </w:r>
    </w:p>
    <w:p>
      <w:pPr>
        <w:spacing w:before="81" w:line="187" w:lineRule="auto"/>
        <w:jc w:val="center"/>
        <w:rPr>
          <w:rFonts w:ascii="Times New Roman" w:hAnsi="Times New Roman" w:eastAsia="宋体" w:cs="Times New Roman"/>
          <w:i/>
          <w:iCs/>
          <w:spacing w:val="-3"/>
          <w:sz w:val="24"/>
        </w:rPr>
      </w:pPr>
      <w:r>
        <w:rPr>
          <w:rFonts w:ascii="Times New Roman" w:hAnsi="Times New Roman" w:eastAsia="Times New Roman" w:cs="Times New Roman"/>
          <w:i/>
          <w:iCs/>
          <w:spacing w:val="-5"/>
          <w:sz w:val="24"/>
          <w:vertAlign w:val="superscript"/>
        </w:rPr>
        <w:t>1</w:t>
      </w:r>
      <w:r>
        <w:rPr>
          <w:rFonts w:ascii="Times New Roman" w:hAnsi="Times New Roman" w:eastAsia="Times New Roman" w:cs="Times New Roman"/>
          <w:i/>
          <w:iCs/>
          <w:spacing w:val="-5"/>
          <w:sz w:val="24"/>
        </w:rPr>
        <w:t>F</w:t>
      </w:r>
      <w:r>
        <w:rPr>
          <w:rFonts w:ascii="Times New Roman" w:hAnsi="Times New Roman" w:eastAsia="Times New Roman" w:cs="Times New Roman"/>
          <w:i/>
          <w:iCs/>
          <w:spacing w:val="-3"/>
          <w:sz w:val="24"/>
        </w:rPr>
        <w:t>aculty</w:t>
      </w:r>
      <w:r>
        <w:rPr>
          <w:rFonts w:ascii="Times New Roman" w:hAnsi="Times New Roman" w:eastAsia="Times New Roman" w:cs="Times New Roman"/>
          <w:i/>
          <w:iCs/>
          <w:spacing w:val="-6"/>
          <w:sz w:val="24"/>
        </w:rPr>
        <w:t xml:space="preserve"> </w:t>
      </w:r>
      <w:r>
        <w:rPr>
          <w:rFonts w:ascii="Times New Roman" w:hAnsi="Times New Roman" w:eastAsia="宋体" w:cs="Times New Roman"/>
          <w:i/>
          <w:iCs/>
          <w:spacing w:val="-3"/>
          <w:sz w:val="24"/>
        </w:rPr>
        <w:t>o</w:t>
      </w:r>
      <w:r>
        <w:rPr>
          <w:rFonts w:ascii="Times New Roman" w:hAnsi="Times New Roman" w:eastAsia="Times New Roman" w:cs="Times New Roman"/>
          <w:i/>
          <w:iCs/>
          <w:spacing w:val="-3"/>
          <w:sz w:val="24"/>
        </w:rPr>
        <w:t>f</w:t>
      </w:r>
      <w:r>
        <w:rPr>
          <w:rFonts w:ascii="Times New Roman" w:hAnsi="Times New Roman" w:eastAsia="Times New Roman" w:cs="Times New Roman"/>
          <w:i/>
          <w:iCs/>
          <w:spacing w:val="-6"/>
          <w:sz w:val="24"/>
        </w:rPr>
        <w:t xml:space="preserve"> </w:t>
      </w:r>
      <w:r>
        <w:rPr>
          <w:rFonts w:ascii="Times New Roman" w:hAnsi="Times New Roman" w:eastAsia="Times New Roman" w:cs="Times New Roman"/>
          <w:i/>
          <w:iCs/>
          <w:spacing w:val="-3"/>
          <w:sz w:val="24"/>
        </w:rPr>
        <w:t>Biology</w:t>
      </w:r>
      <w:r>
        <w:rPr>
          <w:rFonts w:ascii="Times New Roman" w:hAnsi="Times New Roman" w:eastAsia="宋体" w:cs="Times New Roman"/>
          <w:i/>
          <w:iCs/>
          <w:spacing w:val="-3"/>
          <w:sz w:val="24"/>
        </w:rPr>
        <w:t>, Shenzhen</w:t>
      </w:r>
      <w:r>
        <w:rPr>
          <w:rFonts w:hint="eastAsia" w:ascii="Times New Roman" w:hAnsi="Times New Roman" w:eastAsia="宋体" w:cs="Times New Roman"/>
          <w:i/>
          <w:iCs/>
          <w:spacing w:val="-3"/>
          <w:sz w:val="24"/>
        </w:rPr>
        <w:t xml:space="preserve"> MSU-BIT University</w:t>
      </w:r>
    </w:p>
    <w:p>
      <w:pPr>
        <w:spacing w:before="81" w:line="187" w:lineRule="auto"/>
        <w:jc w:val="center"/>
        <w:rPr>
          <w:rFonts w:ascii="Times New Roman" w:hAnsi="Times New Roman" w:eastAsia="宋体" w:cs="Times New Roman"/>
          <w:i/>
          <w:iCs/>
          <w:spacing w:val="-3"/>
          <w:sz w:val="24"/>
        </w:rPr>
      </w:pPr>
      <w:r>
        <w:rPr>
          <w:rFonts w:ascii="Times New Roman" w:hAnsi="Times New Roman" w:eastAsia="宋体" w:cs="Times New Roman"/>
          <w:i/>
          <w:iCs/>
          <w:spacing w:val="-3"/>
          <w:sz w:val="24"/>
          <w:vertAlign w:val="superscript"/>
        </w:rPr>
        <w:t>2</w:t>
      </w:r>
      <w:r>
        <w:rPr>
          <w:rFonts w:ascii="Times New Roman" w:hAnsi="Times New Roman" w:eastAsia="宋体" w:cs="Times New Roman"/>
          <w:i/>
          <w:iCs/>
          <w:spacing w:val="-3"/>
          <w:sz w:val="24"/>
        </w:rPr>
        <w:t>Faculty of Biology, Lomonosov Moscow State University</w:t>
      </w:r>
    </w:p>
    <w:p>
      <w:pPr>
        <w:spacing w:before="81" w:line="187" w:lineRule="auto"/>
        <w:jc w:val="center"/>
        <w:rPr>
          <w:rFonts w:ascii="Times New Roman" w:hAnsi="Times New Roman" w:cs="Times New Roman"/>
          <w:i/>
          <w:iCs/>
          <w:color w:val="000000"/>
          <w:sz w:val="24"/>
          <w:u w:val="single"/>
        </w:rPr>
      </w:pPr>
      <w:r>
        <w:rPr>
          <w:rFonts w:ascii="Times New Roman" w:hAnsi="Times New Roman" w:cs="Times New Roman"/>
          <w:i/>
          <w:iCs/>
          <w:color w:val="000000"/>
          <w:sz w:val="24"/>
        </w:rPr>
        <w:t xml:space="preserve">E-mail: </w:t>
      </w:r>
      <w:r>
        <w:rPr>
          <w:i/>
          <w:iCs/>
        </w:rPr>
        <w:fldChar w:fldCharType="begin"/>
      </w:r>
      <w:r>
        <w:rPr>
          <w:i/>
          <w:iCs/>
        </w:rPr>
        <w:instrText xml:space="preserve"> HYPERLINK "mailto:945991357@qq.com" </w:instrText>
      </w:r>
      <w:r>
        <w:rPr>
          <w:i/>
          <w:iCs/>
        </w:rPr>
        <w:fldChar w:fldCharType="separate"/>
      </w:r>
      <w:r>
        <w:rPr>
          <w:rStyle w:val="6"/>
          <w:rFonts w:ascii="Times New Roman" w:hAnsi="Times New Roman" w:cs="Times New Roman"/>
          <w:i/>
          <w:iCs/>
          <w:sz w:val="24"/>
        </w:rPr>
        <w:t>945991357@qq.com</w:t>
      </w:r>
      <w:r>
        <w:rPr>
          <w:rStyle w:val="6"/>
          <w:rFonts w:ascii="Times New Roman" w:hAnsi="Times New Roman" w:cs="Times New Roman"/>
          <w:i/>
          <w:iCs/>
          <w:sz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Urbanization’s impact on soil biota distributions and their ecological functions remains poorly understood, limiting effective conservation and management strategies. This study aims to address this gap by mapping soil biodiversity patterns in a 55 km² area spanning Shenzhen and Dongguan, which includes a cascade of reservoirs, parks, and urbanized zones.</w:t>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To ensure representative coverage of diverse land use types, we employed Feature Space Coverage Sampling (FSCS) using the k-means++ algorithm to optimize sampling point distribution. A total of 110 sampling points were established across various soil types. At each point, soil samples, surface microbial samples, and soil density samples were collected. Soil microbial community structure and diversity were analyzed using 16S rRNA gene sequencing for bacterial communities and 18S rRNA gene sequencing for fungal communities</w:t>
      </w:r>
      <w:r>
        <w:rPr>
          <w:rFonts w:hint="eastAsia" w:ascii="Times New Roman" w:hAnsi="Times New Roman" w:cs="Times New Roman"/>
          <w:spacing w:val="-3"/>
          <w:sz w:val="24"/>
          <w:lang w:val="en-US" w:eastAsia="zh-CN"/>
        </w:rPr>
        <w:t xml:space="preserve"> </w:t>
      </w:r>
      <w:r>
        <w:rPr>
          <w:rFonts w:hint="eastAsia" w:ascii="Times New Roman" w:hAnsi="Times New Roman" w:cs="Times New Roman"/>
          <w:spacing w:val="-3"/>
          <w:sz w:val="24"/>
        </w:rPr>
        <w:t>(Pino et al., 2023)</w:t>
      </w:r>
      <w:r>
        <w:rPr>
          <w:rFonts w:ascii="Times New Roman" w:hAnsi="Times New Roman" w:cs="Times New Roman"/>
          <w:spacing w:val="-3"/>
          <w:sz w:val="24"/>
        </w:rPr>
        <w:t>.</w:t>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Soil density was determined using the Kachinsky bulk density ring method in triplicate to ensure accuracy. Additionally, soil moisture, pH, and redox potential (Eh) were measured using a pH meter and Eh meter, respectively. Total carbon and nitrogen content were quantified via elemental analysis, while elemental composition (including heavy metals) was assessed using X-ray fluorescence (XRF) spectrometry. To further investigate key zones identified through XRF analysis, X-ray diffraction (XRD) was conducted to characterize mineral composition changes.</w:t>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Remote sensing analysis utilized Sentinel-2 data to calculate NDVI values, which informed vegetation mapping and ecological zone delineation based on field observations. This vegetation map was integrated into the analysis to enhance model accuracy</w:t>
      </w:r>
      <w:r>
        <w:rPr>
          <w:rFonts w:hint="eastAsia" w:ascii="Times New Roman" w:hAnsi="Times New Roman" w:cs="Times New Roman"/>
          <w:spacing w:val="-3"/>
          <w:sz w:val="24"/>
          <w:lang w:val="en-US" w:eastAsia="zh-CN"/>
        </w:rPr>
        <w:t xml:space="preserve"> </w:t>
      </w:r>
      <w:r>
        <w:rPr>
          <w:rFonts w:hint="eastAsia" w:ascii="Times New Roman" w:hAnsi="Times New Roman" w:cs="Times New Roman"/>
          <w:spacing w:val="-3"/>
          <w:sz w:val="24"/>
        </w:rPr>
        <w:t>(Skidmore et al., 2022)</w:t>
      </w:r>
      <w:r>
        <w:rPr>
          <w:rFonts w:ascii="Times New Roman" w:hAnsi="Times New Roman" w:cs="Times New Roman"/>
          <w:spacing w:val="-3"/>
          <w:sz w:val="24"/>
        </w:rPr>
        <w:t>.</w:t>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 xml:space="preserve">A Random Forest model was employed to predict soil biodiversity patterns based on land use type, topographic factors, environmental parameters, and soil chemical properties. </w:t>
      </w:r>
      <w:r>
        <w:rPr>
          <w:rFonts w:hint="eastAsia" w:ascii="Times New Roman" w:hAnsi="Times New Roman" w:cs="Times New Roman"/>
          <w:spacing w:val="-3"/>
          <w:sz w:val="24"/>
        </w:rPr>
        <w:t>Regional factors like soil temperature and pedogenic variations can significantly influence soil microbiome distribution (Pino et al., 2023).</w:t>
      </w:r>
      <w:r>
        <w:rPr>
          <w:rFonts w:hint="eastAsia" w:ascii="Times New Roman" w:hAnsi="Times New Roman" w:cs="Times New Roman"/>
          <w:spacing w:val="-3"/>
          <w:sz w:val="24"/>
          <w:lang w:val="en-US" w:eastAsia="zh-CN"/>
        </w:rPr>
        <w:t xml:space="preserve"> </w:t>
      </w:r>
      <w:r>
        <w:rPr>
          <w:rFonts w:ascii="Times New Roman" w:hAnsi="Times New Roman" w:cs="Times New Roman"/>
          <w:spacing w:val="-3"/>
          <w:sz w:val="24"/>
        </w:rPr>
        <w:t>Preliminary results indicate that forested and park areas exhibit significantly higher microbial diversity compared to urbanized zones, likely due to</w:t>
      </w:r>
      <w:bookmarkStart w:id="0" w:name="_GoBack"/>
      <w:bookmarkEnd w:id="0"/>
      <w:r>
        <w:rPr>
          <w:rFonts w:ascii="Times New Roman" w:hAnsi="Times New Roman" w:cs="Times New Roman"/>
          <w:spacing w:val="-3"/>
          <w:sz w:val="24"/>
        </w:rPr>
        <w:t xml:space="preserve"> more stable microclimatic conditions and reduced soil disturbance. XRF analysis revealed elevated heavy metal concentrations in industrial areas relative to agricultural and park regions.</w:t>
      </w:r>
    </w:p>
    <w:p>
      <w:pPr>
        <w:keepNext w:val="0"/>
        <w:keepLines w:val="0"/>
        <w:pageBreakBefore w:val="0"/>
        <w:widowControl w:val="0"/>
        <w:kinsoku/>
        <w:wordWrap/>
        <w:overflowPunct/>
        <w:topLinePunct w:val="0"/>
        <w:autoSpaceDE/>
        <w:autoSpaceDN/>
        <w:bidi w:val="0"/>
        <w:adjustRightInd/>
        <w:snapToGrid/>
        <w:spacing w:line="240" w:lineRule="auto"/>
        <w:ind w:firstLine="161" w:firstLineChars="69"/>
        <w:textAlignment w:val="auto"/>
        <w:rPr>
          <w:rFonts w:ascii="Times New Roman" w:hAnsi="Times New Roman" w:cs="Times New Roman"/>
          <w:spacing w:val="-3"/>
          <w:sz w:val="24"/>
        </w:rPr>
      </w:pPr>
      <w:r>
        <w:rPr>
          <w:rFonts w:ascii="Times New Roman" w:hAnsi="Times New Roman" w:cs="Times New Roman"/>
          <w:spacing w:val="-3"/>
          <w:sz w:val="24"/>
        </w:rPr>
        <w:t>These findings provide actionable insights for conservation strategies, including prioritizing reforestation efforts in areas with low soil biodiversity, guiding land-use planning to minimize urbanization’s impact on soil health, and informing targeted remediation strategies in zones with elevated heavy metal concentrations. The study’s outcomes offer valuable guidance not only for the Shenzhen-Dongguan region but also for soil biodiversity conservation in other rapidly urbanizing landscapes.</w:t>
      </w:r>
    </w:p>
    <w:p>
      <w:pPr>
        <w:ind w:firstLine="166" w:firstLineChars="69"/>
        <w:jc w:val="center"/>
        <w:rPr>
          <w:rFonts w:ascii="Times New Roman" w:hAnsi="Times New Roman" w:cs="Times New Roman"/>
          <w:sz w:val="24"/>
        </w:rPr>
      </w:pPr>
      <w:r>
        <w:rPr>
          <w:rFonts w:ascii="Times New Roman" w:hAnsi="Times New Roman" w:cs="Times New Roman"/>
          <w:b/>
          <w:color w:val="000000"/>
          <w:sz w:val="24"/>
        </w:rPr>
        <w:t>Literature</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sz w:val="24"/>
        </w:rPr>
      </w:pPr>
      <w:r>
        <w:rPr>
          <w:rFonts w:ascii="Times New Roman" w:hAnsi="Times New Roman" w:cs="Times New Roman"/>
          <w:sz w:val="24"/>
        </w:rPr>
        <w:t>Pino V, Fajardo M, McBratney A, et al. Australian soil microbiome: A first sightseeing regional prediction driven by cycles of soil temperature and pedogenic variations[J]. Molecular Ecology, 2023, 32(23): 6243-6259.</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sz w:val="24"/>
        </w:rPr>
      </w:pPr>
      <w:r>
        <w:rPr>
          <w:rFonts w:ascii="Times New Roman" w:hAnsi="Times New Roman" w:cs="Times New Roman"/>
          <w:sz w:val="24"/>
        </w:rPr>
        <w:t>Skidmore A K, Siegenthaler A, Wang T, et al. Mapping the relative abundance of soil microbiome biodiversity from eDNA and remote sensing[J]. Science of Remote Sensing, 2022, 6: 100065.</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jVlOTUyNjAzNzkzYmU5ZDQ0Mzc0NzhiN2UwOGQifQ=="/>
    <w:docVar w:name="KSO_WPS_MARK_KEY" w:val="68dea935-a412-4ca2-9594-9f7268b2afad"/>
  </w:docVars>
  <w:rsids>
    <w:rsidRoot w:val="00263AE9"/>
    <w:rsid w:val="000C1768"/>
    <w:rsid w:val="002565AE"/>
    <w:rsid w:val="00263AE9"/>
    <w:rsid w:val="002B1E30"/>
    <w:rsid w:val="002F0765"/>
    <w:rsid w:val="00450BB2"/>
    <w:rsid w:val="00654A57"/>
    <w:rsid w:val="007747EB"/>
    <w:rsid w:val="009C779F"/>
    <w:rsid w:val="00EE6A96"/>
    <w:rsid w:val="044E4BEE"/>
    <w:rsid w:val="051536FE"/>
    <w:rsid w:val="058663AA"/>
    <w:rsid w:val="06E46605"/>
    <w:rsid w:val="0B381EF4"/>
    <w:rsid w:val="0C9475FE"/>
    <w:rsid w:val="102E1B18"/>
    <w:rsid w:val="10993435"/>
    <w:rsid w:val="11254CC9"/>
    <w:rsid w:val="1455299B"/>
    <w:rsid w:val="161F0733"/>
    <w:rsid w:val="18057602"/>
    <w:rsid w:val="19341070"/>
    <w:rsid w:val="1AD80FFE"/>
    <w:rsid w:val="1C735482"/>
    <w:rsid w:val="201B5C14"/>
    <w:rsid w:val="23B73EA6"/>
    <w:rsid w:val="254773C8"/>
    <w:rsid w:val="26451C3D"/>
    <w:rsid w:val="28642123"/>
    <w:rsid w:val="2CA84731"/>
    <w:rsid w:val="319E542E"/>
    <w:rsid w:val="3DE9514C"/>
    <w:rsid w:val="4006084F"/>
    <w:rsid w:val="43B772C7"/>
    <w:rsid w:val="46420BB9"/>
    <w:rsid w:val="46937059"/>
    <w:rsid w:val="48253E57"/>
    <w:rsid w:val="48C400DF"/>
    <w:rsid w:val="499A554C"/>
    <w:rsid w:val="4B441C14"/>
    <w:rsid w:val="4CA86911"/>
    <w:rsid w:val="4DC13FA6"/>
    <w:rsid w:val="6017124D"/>
    <w:rsid w:val="611E6701"/>
    <w:rsid w:val="61444E12"/>
    <w:rsid w:val="61D27B22"/>
    <w:rsid w:val="6200468F"/>
    <w:rsid w:val="62562501"/>
    <w:rsid w:val="62C55BF8"/>
    <w:rsid w:val="63740258"/>
    <w:rsid w:val="66663467"/>
    <w:rsid w:val="6BEA64FC"/>
    <w:rsid w:val="713D6455"/>
    <w:rsid w:val="7544443B"/>
    <w:rsid w:val="78220D5C"/>
    <w:rsid w:val="7B0A3A31"/>
    <w:rsid w:val="7DA97531"/>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rPr>
      <w:sz w:val="20"/>
      <w:szCs w:val="20"/>
    </w:rPr>
  </w:style>
  <w:style w:type="paragraph" w:styleId="3">
    <w:name w:val="annotation subject"/>
    <w:basedOn w:val="2"/>
    <w:next w:val="2"/>
    <w:link w:val="9"/>
    <w:qFormat/>
    <w:uiPriority w:val="0"/>
    <w:rPr>
      <w:b/>
      <w:bCs/>
    </w:rPr>
  </w:style>
  <w:style w:type="character" w:styleId="6">
    <w:name w:val="Hyperlink"/>
    <w:basedOn w:val="5"/>
    <w:uiPriority w:val="0"/>
    <w:rPr>
      <w:color w:val="0563C1" w:themeColor="hyperlink"/>
      <w:u w:val="single"/>
      <w14:textFill>
        <w14:solidFill>
          <w14:schemeClr w14:val="hlink"/>
        </w14:solidFill>
      </w14:textFill>
    </w:rPr>
  </w:style>
  <w:style w:type="character" w:styleId="7">
    <w:name w:val="annotation reference"/>
    <w:basedOn w:val="5"/>
    <w:qFormat/>
    <w:uiPriority w:val="0"/>
    <w:rPr>
      <w:sz w:val="16"/>
      <w:szCs w:val="16"/>
    </w:rPr>
  </w:style>
  <w:style w:type="character" w:customStyle="1" w:styleId="8">
    <w:name w:val="Comment Text Char"/>
    <w:basedOn w:val="5"/>
    <w:link w:val="2"/>
    <w:qFormat/>
    <w:uiPriority w:val="0"/>
    <w:rPr>
      <w:rFonts w:asciiTheme="minorHAnsi" w:hAnsiTheme="minorHAnsi" w:eastAsiaTheme="minorEastAsia" w:cstheme="minorBidi"/>
      <w:kern w:val="2"/>
    </w:rPr>
  </w:style>
  <w:style w:type="character" w:customStyle="1" w:styleId="9">
    <w:name w:val="Comment Subject Char"/>
    <w:basedOn w:val="8"/>
    <w:link w:val="3"/>
    <w:qFormat/>
    <w:uiPriority w:val="0"/>
    <w:rPr>
      <w:rFonts w:asciiTheme="minorHAnsi" w:hAnsiTheme="minorHAnsi" w:eastAsiaTheme="minorEastAsia" w:cstheme="minorBidi"/>
      <w:b/>
      <w:bCs/>
      <w:kern w:val="2"/>
    </w:rPr>
  </w:style>
  <w:style w:type="character" w:customStyle="1" w:styleId="10">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476</Words>
  <Characters>2986</Characters>
  <Lines>24</Lines>
  <Paragraphs>6</Paragraphs>
  <TotalTime>16</TotalTime>
  <ScaleCrop>false</ScaleCrop>
  <LinksUpToDate>false</LinksUpToDate>
  <CharactersWithSpaces>3447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2025-03-13T12:17:00Z</dcterms:created>
  <dc:creator>纯关区</dc:creator>
  <cp:lastModifiedBy>batsy</cp:lastModifiedBy>
  <dcterms:modified xsi:type="dcterms:W3CDTF">2025-03-15T08:10:55Z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D33A982888F54DC3980998DDFCF7D64B</vt:lpwstr>
  </property>
</Properties>
</file>