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E44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Регион как объект государственного управления</w:t>
      </w:r>
    </w:p>
    <w:p w14:paraId="4D576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lang w:val="ru-RU"/>
        </w:rPr>
        <w:t>Чжу М.</w:t>
      </w:r>
    </w:p>
    <w:p w14:paraId="16A15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i/>
          <w:iCs/>
          <w:lang w:val="ru-RU"/>
        </w:rPr>
      </w:pPr>
      <w:r>
        <w:rPr>
          <w:rFonts w:hint="default" w:ascii="Times New Roman" w:hAnsi="Times New Roman" w:cs="Times New Roman"/>
          <w:i/>
          <w:iCs/>
          <w:lang w:val="ru-RU"/>
        </w:rPr>
        <w:t>Соискатель</w:t>
      </w:r>
    </w:p>
    <w:p w14:paraId="64851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Московский государственный университет имени М.В.Ломоносова,</w:t>
      </w:r>
    </w:p>
    <w:p w14:paraId="2F2A9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Факультет государственного управления</w:t>
      </w:r>
      <w:r>
        <w:rPr>
          <w:rFonts w:hint="default" w:ascii="Times New Roman" w:hAnsi="Times New Roman" w:cs="Times New Roman"/>
        </w:rPr>
        <w:t>, Москва, Россия</w:t>
      </w:r>
    </w:p>
    <w:p w14:paraId="1107C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E–mail: </w:t>
      </w:r>
      <w:r>
        <w:rPr>
          <w:rFonts w:hint="eastAsia" w:ascii="Times New Roman" w:hAnsi="Times New Roman" w:eastAsia="宋体" w:cs="Times New Roman"/>
          <w:lang w:val="en-US" w:eastAsia="zh-CN"/>
        </w:rPr>
        <w:t>zhumm12@163.com</w:t>
      </w:r>
    </w:p>
    <w:p w14:paraId="0BD7D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cs="Times New Roman"/>
          <w:lang w:val="ru-RU"/>
        </w:rPr>
      </w:pPr>
    </w:p>
    <w:p w14:paraId="18F825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5" w:firstLineChars="69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Под регионом (лат. region) понимается часть территориального пространства, обладающая сходством и взаимодействием составляющих ее элементов и ресурсов. При этом термин «регион» может быть применим как к субъекту РФ, обладающему административно-территориальными границами, так и к территории, не имеющей законодательно обозначенной площади, но вместе с тем характеризующейся рядом отличимых признаков и процессов социально-экономического развития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[1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,с.15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 Управление регионом требует учета географических, экономических, социальных и культурных особенностей территории.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системе государственного управления регион (регион) играет ключевую роль. Он не только является географическим делением, но и важным носителем социальных и экономических процессов, основой для реализации государственной политики. Эффективное управление регионами имеет большое значение для достижения целей национального развития.</w:t>
      </w:r>
    </w:p>
    <w:p w14:paraId="2806A7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Ключевым аспектом регионального управления является сбалансированное развитие. Государство, через механизмы законодательства, бюджетного финансирования и стратегического планирования, стремится сократить дисбалансы между регионами. Например, программы развития Дальнего Востока или Северного Кавказа направлены на преодоление инфраструктурных и экономических диспропорций.</w:t>
      </w:r>
    </w:p>
    <w:p w14:paraId="37BB5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Важным инструментом управления остается бюджетно-налоговая политика. Субъекты Федерации обладают определенной финансовой самостоятельностью, что позволяет адаптировать меры поддержки под локальные нужды. Однако централизация ключевых решений (например, в налоговой системе) сохраняет контроль за исполнением стратегических задач.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Различные государственные структуры периодически разрабатывают всевозможные прогнозные документы – стратегии, концепции, дорожные карты, основные направления экономической политики, в рамках которых декларируются «правильные» цели и задачи социально-экономического развития России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2,с.3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4"/>
          <w:szCs w:val="24"/>
          <w:lang w:val="ru-RU" w:eastAsia="zh-CN"/>
        </w:rPr>
        <w:t>.</w:t>
      </w:r>
    </w:p>
    <w:p w14:paraId="7FBAA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Особую роль играет информатизация управления. Внедрение цифровых платформ, таких как «электронное правительство», повышает прозрачность и скорость принятия решений. Однако цифровой разрыв между регионами требует дополнительных инвестиций в инфраструктуру.</w:t>
      </w:r>
    </w:p>
    <w:p w14:paraId="21026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управление регионом — это поиск баланса между централизацией и автономией, инновациями и традициями. Успешная региональная политика возможна только при учете мнения местных сообществ и долгосрочном стратегическом планировании.</w:t>
      </w:r>
    </w:p>
    <w:p w14:paraId="3D627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66" w:firstLineChars="6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14:paraId="4EEC184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bdr w:val="single" w:color="E5E7EB" w:sz="2" w:space="0"/>
          <w:shd w:val="clear" w:fill="FFFFFF"/>
        </w:rPr>
        <w:t>Угрюмова, А. 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2025. — 517 с. — (Высшее образование). — ISBN 978-5-534-16821-1. — Текст : электронный // Образовательная платформа Юрайт [сайт]. — URL: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4"/>
          <w:szCs w:val="24"/>
          <w:u w:val="none"/>
          <w:bdr w:val="single" w:color="E5E7EB" w:sz="2" w:space="0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4"/>
          <w:szCs w:val="24"/>
          <w:u w:val="none"/>
          <w:bdr w:val="single" w:color="E5E7EB" w:sz="2" w:space="0"/>
          <w:shd w:val="clear" w:fill="FFFFFF"/>
        </w:rPr>
        <w:instrText xml:space="preserve"> HYPERLINK "https://urait.ru/bcode/560938" \t "https://urait.ru/book/_blank"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4"/>
          <w:szCs w:val="24"/>
          <w:u w:val="none"/>
          <w:bdr w:val="single" w:color="E5E7EB" w:sz="2" w:space="0"/>
          <w:shd w:val="clear" w:fill="FFFFFF"/>
        </w:rPr>
        <w:fldChar w:fldCharType="separate"/>
      </w:r>
      <w:r>
        <w:rPr>
          <w:rStyle w:val="10"/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4"/>
          <w:szCs w:val="24"/>
          <w:u w:val="none"/>
          <w:bdr w:val="single" w:color="E5E7EB" w:sz="2" w:space="0"/>
          <w:shd w:val="clear" w:fill="FFFFFF"/>
        </w:rPr>
        <w:t>https://urait.ru/bcode/560938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86C97"/>
          <w:spacing w:val="0"/>
          <w:sz w:val="24"/>
          <w:szCs w:val="24"/>
          <w:u w:val="none"/>
          <w:bdr w:val="single" w:color="E5E7EB" w:sz="2" w:space="0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(дата обращения: 13.03.2025).</w:t>
      </w:r>
    </w:p>
    <w:p w14:paraId="2B67CE3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Маршалова А.С., Новоселов А.С., Волянская Т.В. Концепция регионального управления на этапе поиска эффективной модели экономического развития России// Современные технологии управления. ISSN 2226-9339. — №8 (68). Номер статьи: 680</w:t>
      </w:r>
      <w:bookmarkStart w:id="0" w:name="_GoBack"/>
      <w:bookmarkEnd w:id="0"/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日本青柳衡山毛笔字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日本青柳衡山毛笔字体">
    <w:panose1 w:val="02000600000000000000"/>
    <w:charset w:val="80"/>
    <w:family w:val="auto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01111"/>
    <w:multiLevelType w:val="singleLevel"/>
    <w:tmpl w:val="5E7011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638C"/>
    <w:rsid w:val="09577DA7"/>
    <w:rsid w:val="380437F2"/>
    <w:rsid w:val="5041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6" w:lineRule="auto"/>
    </w:pPr>
    <w:rPr>
      <w:rFonts w:ascii="Calibri" w:hAnsi="Calibri" w:eastAsia="Times New Roman" w:cs="Times New Roman"/>
      <w:sz w:val="28"/>
      <w:szCs w:val="21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foot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2075</Characters>
  <Lines>0</Lines>
  <Paragraphs>0</Paragraphs>
  <TotalTime>36</TotalTime>
  <ScaleCrop>false</ScaleCrop>
  <LinksUpToDate>false</LinksUpToDate>
  <CharactersWithSpaces>2312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2022-04-08T22:20:00Z</dcterms:created>
  <dc:creator>Moli and Julia</dc:creator>
  <cp:lastModifiedBy>Der</cp:lastModifiedBy>
  <dcterms:modified xsi:type="dcterms:W3CDTF">2025-03-12T21:54:17Z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eyJoZGlkIjoiMWJmYzNmNGM4MGNlMzM2ZDlkMTA1YmJjNDIxYzhkNTkiLCJ1c2VySWQiOiI3Mzc4NDU3ODQifQ==</vt:lpwstr>
  </property>
  <property fmtid="{D5CDD505-2E9C-101B-9397-08002B2CF9AE}" pid="4" name="ICV">
    <vt:lpwstr>4946186E97E846C68F971863A3EF5579_12</vt:lpwstr>
  </property>
</Properties>
</file>