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CA260">
      <w:pPr>
        <w:jc w:val="center"/>
        <w:rPr>
          <w:rFonts w:ascii="Times New Roman" w:hAnsi="Times New Roman" w:cs="Times New Roman" w:eastAsiaTheme="majorHAnsi"/>
          <w:b/>
          <w:bCs/>
          <w:sz w:val="24"/>
          <w:szCs w:val="24"/>
        </w:rPr>
      </w:pPr>
      <w:r>
        <w:rPr>
          <w:rFonts w:ascii="Times New Roman" w:hAnsi="Times New Roman" w:eastAsiaTheme="majorHAnsi"/>
          <w:b/>
          <w:bCs/>
          <w:sz w:val="24"/>
          <w:szCs w:val="24"/>
        </w:rPr>
        <w:t>Influence of the surface-oriented polymer structure on the neuroblastoma cell differentiation</w:t>
      </w:r>
    </w:p>
    <w:p w14:paraId="48395599">
      <w:pPr>
        <w:jc w:val="center"/>
        <w:rPr>
          <w:rFonts w:hint="default" w:ascii="Times New Roman" w:hAnsi="Times New Roman" w:eastAsia="SimSun" w:cs="Times New Roman"/>
          <w:b/>
          <w:bCs/>
          <w:i/>
          <w:iCs/>
          <w:sz w:val="24"/>
          <w:szCs w:val="24"/>
          <w:vertAlign w:val="superscript"/>
          <w:lang w:val="en-US" w:eastAsia="zh-CN"/>
        </w:rPr>
      </w:pPr>
      <w:r>
        <w:rPr>
          <w:rFonts w:hint="default" w:ascii="Times New Roman" w:hAnsi="Times New Roman" w:cs="Times New Roman" w:eastAsiaTheme="majorHAnsi"/>
          <w:b/>
          <w:bCs/>
          <w:i/>
          <w:iCs/>
          <w:sz w:val="24"/>
          <w:szCs w:val="24"/>
          <w:u w:val="none"/>
        </w:rPr>
        <w:t>Diana Meskhadze</w:t>
      </w:r>
      <w:r>
        <w:rPr>
          <w:rFonts w:hint="default" w:ascii="Times New Roman" w:hAnsi="Times New Roman" w:cs="Times New Roman" w:eastAsiaTheme="majorHAnsi"/>
          <w:b/>
          <w:bCs/>
          <w:i/>
          <w:iCs/>
          <w:sz w:val="24"/>
          <w:szCs w:val="24"/>
          <w:vertAlign w:val="superscript"/>
        </w:rPr>
        <w:t>1</w:t>
      </w:r>
    </w:p>
    <w:p w14:paraId="0E16F081">
      <w:pPr>
        <w:shd w:val="clear" w:color="auto" w:fill="FFFFFF"/>
        <w:jc w:val="center"/>
        <w:rPr>
          <w:rFonts w:hint="default" w:ascii="Times New Roman" w:hAnsi="Times New Roman" w:cs="Times New Roman" w:eastAsiaTheme="majorHAnsi"/>
          <w:sz w:val="24"/>
          <w:szCs w:val="24"/>
        </w:rPr>
      </w:pPr>
      <w:r>
        <w:rPr>
          <w:rFonts w:hint="default" w:ascii="Times New Roman" w:hAnsi="Times New Roman" w:cs="Times New Roman"/>
          <w:i/>
          <w:color w:val="000000"/>
          <w:sz w:val="24"/>
          <w:szCs w:val="24"/>
          <w:lang w:val="en-US"/>
        </w:rPr>
        <w:t>Student, 2</w:t>
      </w:r>
      <w:r>
        <w:rPr>
          <w:rFonts w:hint="default" w:ascii="Times New Roman" w:hAnsi="Times New Roman" w:cs="Times New Roman"/>
          <w:i/>
          <w:color w:val="000000"/>
          <w:sz w:val="24"/>
          <w:szCs w:val="24"/>
          <w:vertAlign w:val="superscript"/>
          <w:lang w:val="en-US"/>
        </w:rPr>
        <w:t>nd</w:t>
      </w:r>
      <w:r>
        <w:rPr>
          <w:rFonts w:hint="default" w:ascii="Times New Roman" w:hAnsi="Times New Roman" w:cs="Times New Roman"/>
          <w:i/>
          <w:color w:val="000000"/>
          <w:sz w:val="24"/>
          <w:szCs w:val="24"/>
          <w:lang w:val="en-US"/>
        </w:rPr>
        <w:t xml:space="preserve"> year master’s degree</w:t>
      </w:r>
    </w:p>
    <w:p w14:paraId="0E2E85F7">
      <w:pPr>
        <w:numPr>
          <w:numId w:val="0"/>
        </w:numPr>
        <w:jc w:val="center"/>
        <w:rPr>
          <w:rFonts w:hint="default" w:ascii="Times New Roman" w:hAnsi="Times New Roman" w:cs="Times New Roman" w:eastAsiaTheme="majorHAnsi"/>
          <w:sz w:val="24"/>
          <w:szCs w:val="24"/>
        </w:rPr>
      </w:pPr>
      <w:r>
        <w:rPr>
          <w:rFonts w:hint="default" w:ascii="Times New Roman" w:hAnsi="Times New Roman" w:cs="Times New Roman"/>
          <w:i/>
          <w:color w:val="000000"/>
          <w:sz w:val="24"/>
          <w:szCs w:val="24"/>
          <w:vertAlign w:val="superscript"/>
          <w:lang w:val="en-US" w:eastAsia="zh-CN"/>
        </w:rPr>
        <w:t>1</w:t>
      </w:r>
      <w:r>
        <w:rPr>
          <w:rFonts w:hint="default" w:ascii="Times New Roman" w:hAnsi="Times New Roman" w:cs="Times New Roman"/>
          <w:i/>
          <w:color w:val="000000"/>
          <w:sz w:val="24"/>
          <w:szCs w:val="24"/>
          <w:lang w:val="en-US"/>
        </w:rPr>
        <w:t>Shenzhen MSU-BIT University, Faculty of biology, Shenzhen, China</w:t>
      </w:r>
    </w:p>
    <w:p w14:paraId="7123F272">
      <w:pPr>
        <w:jc w:val="center"/>
        <w:rPr>
          <w:rFonts w:hint="default" w:ascii="Times New Roman" w:hAnsi="Times New Roman" w:cs="Times New Roman" w:eastAsiaTheme="majorHAnsi"/>
          <w:i/>
          <w:iCs/>
          <w:sz w:val="24"/>
          <w:szCs w:val="24"/>
          <w:u w:val="single"/>
        </w:rPr>
      </w:pPr>
      <w:r>
        <w:rPr>
          <w:rFonts w:hint="default" w:ascii="Times New Roman" w:hAnsi="Times New Roman" w:cs="Times New Roman" w:eastAsiaTheme="majorHAnsi"/>
          <w:i/>
          <w:iCs/>
          <w:sz w:val="24"/>
          <w:szCs w:val="24"/>
        </w:rPr>
        <w:t xml:space="preserve">E-mail: </w:t>
      </w:r>
      <w:r>
        <w:rPr>
          <w:rFonts w:hint="default" w:ascii="Times New Roman" w:hAnsi="Times New Roman" w:cs="Times New Roman" w:eastAsiaTheme="majorHAnsi"/>
          <w:i/>
          <w:iCs/>
          <w:sz w:val="24"/>
          <w:szCs w:val="24"/>
          <w:u w:val="single"/>
        </w:rPr>
        <w:t>diana150701@mail.ru</w:t>
      </w:r>
    </w:p>
    <w:p w14:paraId="4A3AED35">
      <w:pPr>
        <w:keepNext w:val="0"/>
        <w:keepLines w:val="0"/>
        <w:pageBreakBefore w:val="0"/>
        <w:widowControl w:val="0"/>
        <w:kinsoku/>
        <w:wordWrap/>
        <w:overflowPunct/>
        <w:topLinePunct w:val="0"/>
        <w:autoSpaceDE w:val="0"/>
        <w:autoSpaceDN w:val="0"/>
        <w:bidi w:val="0"/>
        <w:adjustRightInd w:val="0"/>
        <w:snapToGrid/>
        <w:ind w:firstLine="397" w:firstLineChars="0"/>
        <w:textAlignment w:val="auto"/>
        <w:rPr>
          <w:rFonts w:ascii="Times New Roman" w:hAnsi="Times New Roman" w:eastAsia="Cambria" w:cs="Times New Roman"/>
          <w:kern w:val="1"/>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1" locked="0" layoutInCell="1" allowOverlap="1">
                <wp:simplePos x="0" y="0"/>
                <wp:positionH relativeFrom="column">
                  <wp:posOffset>2942590</wp:posOffset>
                </wp:positionH>
                <wp:positionV relativeFrom="paragraph">
                  <wp:posOffset>2835275</wp:posOffset>
                </wp:positionV>
                <wp:extent cx="2992755" cy="255270"/>
                <wp:effectExtent l="0" t="0" r="7620" b="1905"/>
                <wp:wrapTight wrapText="bothSides">
                  <wp:wrapPolygon>
                    <wp:start x="0" y="0"/>
                    <wp:lineTo x="0" y="20955"/>
                    <wp:lineTo x="21518" y="20955"/>
                    <wp:lineTo x="21518" y="0"/>
                    <wp:lineTo x="0" y="0"/>
                  </wp:wrapPolygon>
                </wp:wrapTight>
                <wp:docPr id="1" name="Text Box 1"/>
                <wp:cNvGraphicFramePr/>
                <a:graphic xmlns:a="http://schemas.openxmlformats.org/drawingml/2006/main">
                  <a:graphicData uri="http://schemas.microsoft.com/office/word/2010/wordprocessingShape">
                    <wps:wsp>
                      <wps:cNvSpPr txBox="1"/>
                      <wps:spPr>
                        <a:xfrm>
                          <a:off x="3871595" y="1923415"/>
                          <a:ext cx="2992755" cy="255270"/>
                        </a:xfrm>
                        <a:prstGeom prst="rect">
                          <a:avLst/>
                        </a:prstGeom>
                        <a:solidFill>
                          <a:schemeClr val="lt1"/>
                        </a:solidFill>
                        <a:ln w="6350">
                          <a:noFill/>
                        </a:ln>
                      </wps:spPr>
                      <wps:txbx>
                        <w:txbxContent>
                          <w:p w14:paraId="25C83EB9">
                            <w:pPr>
                              <w:jc w:val="left"/>
                              <w:rPr>
                                <w:rFonts w:hint="default" w:ascii="Times New Roman" w:hAnsi="Times New Roman" w:eastAsia="SimSun" w:cs="Times New Roman"/>
                                <w:sz w:val="13"/>
                                <w:szCs w:val="13"/>
                                <w:lang w:eastAsia="zh-CN"/>
                              </w:rPr>
                            </w:pPr>
                            <w:r>
                              <w:rPr>
                                <w:rFonts w:hint="default" w:ascii="Times New Roman" w:hAnsi="Times New Roman" w:eastAsia="SimSun" w:cs="Times New Roman"/>
                                <w:sz w:val="13"/>
                                <w:szCs w:val="13"/>
                                <w:lang w:val="en-US" w:eastAsia="zh-CN"/>
                              </w:rPr>
                              <w:t>Figure 1. The ration between the grit of sanding paper and the thickness of the ridges.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7pt;margin-top:223.25pt;height:20.1pt;width:235.65pt;mso-wrap-distance-left:9pt;mso-wrap-distance-right:9pt;z-index:-251657216;mso-width-relative:page;mso-height-relative:page;" fillcolor="#FFFFFF [3201]" filled="t" stroked="f" coordsize="21600,21600" wrapcoords="0 0 0 20955 21518 20955 21518 0 0 0" o:gfxdata="UEsDBAoAAAAAAIdO4kAAAAAAAAAAAAAAAAAEAAAAZHJzL1BLAwQUAAAACACHTuJAIoSqodYAAAAL&#10;AQAADwAAAGRycy9kb3ducmV2LnhtbE2Py07DMBBF90j8gzVI7KgTatIS4nSBxBaJtnTtxkMcEY8j&#10;231+PcMKdvM4unOmWZ39KI4Y0xBIQzkrQCB1wQ7Ua9hu3h6WIFI2ZM0YCDVcMMGqvb1pTG3DiT7w&#10;uM694BBKtdHgcp5qKVPn0Js0CxMS775C9CZzG3tpozlxuB/lY1FU0puB+IIzE7467L7XB69h1/vr&#10;7rOcorN+VPR+vWy2YdD6/q4sXkBkPOc/GH71WR1adtqHA9kkRg2qmitGuVDVEwgmnudqAWLPk2W1&#10;ANk28v8P7Q9QSwMEFAAAAAgAh07iQHH3pktMAgAAmgQAAA4AAABkcnMvZTJvRG9jLnhtbK1UTY/a&#10;MBC9V+p/sHwvgUCWBRFWFERVadVdia16No5DLNke1zYk21/fsZP96LaHPZRDGHte3vi9GWd102lF&#10;LsJ5Caakk9GYEmE4VNKcSvr9Yf/pmhIfmKmYAiNK+ig8vVl//LBq7VLk0ICqhCNIYvyytSVtQrDL&#10;LPO8EZr5EVhhMFmD0yzg0p2yyrEW2bXK8vH4KmvBVdYBF97j7q5P0oHRvYcQ6lpysQN+1sKEntUJ&#10;xQJK8o20nq7Taeta8HBX114EokqKSkN6YhGMj/GZrVdseXLMNpIPR2DvOcIbTZpJg0WfqXYsMHJ2&#10;8i8qLbkDD3UYcdBZLyQ5giom4zfeHBpmRdKCVnv7bLr/f7T82+XeEVnhJFBimMaGP4gukM/QkUl0&#10;p7V+iaCDRVjocDsih32Pm1F0Vzsd/1EOwfz0ej4pFgUlj4hd5NPZpOh9jsQcAflikc8LBHBE5EWR&#10;z1Mjshcm63z4IkCTGJTUYR+Tvexy6wNWR+gTJBb2oGS1l0qlhTsdt8qRC8Oe79MvlsdX/oApQ9qS&#10;Xk2LcWI2EN/vccogPArvBcYodMduUH2E6hHNcNAPk7d8L/GUt8yHe+ZwenC28H6FO3zUCrAIDBEl&#10;Dbhf/9qPeGwqZilpcRpL6n+emROUqK8G272YzGZxfNNiVsxzXLjXmePrjDnrLaB4bCmeLoURH9RT&#10;WDvQP/AabmJVTDHDsXZJw1O4Df0dwWvMxWaTQDiwloVbc7A8UkerDWzOAWqZWhJt6r0Z3MORTbYP&#10;1yveidfrhHr5pK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KEqqHWAAAACwEAAA8AAAAAAAAA&#10;AQAgAAAAIgAAAGRycy9kb3ducmV2LnhtbFBLAQIUABQAAAAIAIdO4kBx96ZLTAIAAJoEAAAOAAAA&#10;AAAAAAEAIAAAACUBAABkcnMvZTJvRG9jLnhtbFBLBQYAAAAABgAGAFkBAADjBQAAAAA=&#10;">
                <v:fill on="t" focussize="0,0"/>
                <v:stroke on="f" weight="0.5pt"/>
                <v:imagedata o:title=""/>
                <o:lock v:ext="edit" aspectratio="f"/>
                <v:textbox>
                  <w:txbxContent>
                    <w:p w14:paraId="25C83EB9">
                      <w:pPr>
                        <w:jc w:val="left"/>
                        <w:rPr>
                          <w:rFonts w:hint="default" w:ascii="Times New Roman" w:hAnsi="Times New Roman" w:eastAsia="SimSun" w:cs="Times New Roman"/>
                          <w:sz w:val="13"/>
                          <w:szCs w:val="13"/>
                          <w:lang w:eastAsia="zh-CN"/>
                        </w:rPr>
                      </w:pPr>
                      <w:r>
                        <w:rPr>
                          <w:rFonts w:hint="default" w:ascii="Times New Roman" w:hAnsi="Times New Roman" w:eastAsia="SimSun" w:cs="Times New Roman"/>
                          <w:sz w:val="13"/>
                          <w:szCs w:val="13"/>
                          <w:lang w:val="en-US" w:eastAsia="zh-CN"/>
                        </w:rPr>
                        <w:t>Figure 1. The ration between the grit of sanding paper and the thickness of the ridges.</w:t>
                      </w:r>
                    </w:p>
                  </w:txbxContent>
                </v:textbox>
                <w10:wrap type="tight"/>
              </v:shape>
            </w:pict>
          </mc:Fallback>
        </mc:AlternateContent>
      </w:r>
      <w:r>
        <w:rPr>
          <w:rFonts w:hint="default"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2948305</wp:posOffset>
            </wp:positionH>
            <wp:positionV relativeFrom="paragraph">
              <wp:posOffset>1214755</wp:posOffset>
            </wp:positionV>
            <wp:extent cx="3032760" cy="1701165"/>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rcRect b="7654"/>
                    <a:stretch>
                      <a:fillRect/>
                    </a:stretch>
                  </pic:blipFill>
                  <pic:spPr>
                    <a:xfrm>
                      <a:off x="0" y="0"/>
                      <a:ext cx="3032760" cy="1701165"/>
                    </a:xfrm>
                    <a:prstGeom prst="rect">
                      <a:avLst/>
                    </a:prstGeom>
                    <a:noFill/>
                    <a:ln>
                      <a:noFill/>
                    </a:ln>
                  </pic:spPr>
                </pic:pic>
              </a:graphicData>
            </a:graphic>
          </wp:anchor>
        </w:drawing>
      </w:r>
      <w:r>
        <w:rPr>
          <w:rFonts w:hint="default" w:ascii="Times New Roman" w:hAnsi="Times New Roman" w:eastAsia="SimSun" w:cs="Times New Roman"/>
          <w:sz w:val="24"/>
          <w:szCs w:val="24"/>
        </w:rPr>
        <w:t>The influenc</w:t>
      </w:r>
      <w:bookmarkStart w:id="0" w:name="_GoBack"/>
      <w:bookmarkEnd w:id="0"/>
      <w:r>
        <w:rPr>
          <w:rFonts w:hint="default" w:ascii="Times New Roman" w:hAnsi="Times New Roman" w:eastAsia="SimSun" w:cs="Times New Roman"/>
          <w:sz w:val="24"/>
          <w:szCs w:val="24"/>
        </w:rPr>
        <w:t>e of the surface on the differentiation of neuroblastoma cells is an area of research that explores how the properties of the substrate on which neuroblastoma cells are cultured affect their differentiation status.</w:t>
      </w:r>
      <w:r>
        <w:rPr>
          <w:rFonts w:hint="default" w:ascii="Times New Roman" w:hAnsi="Times New Roman" w:eastAsia="Cambria" w:cs="Times New Roman"/>
          <w:kern w:val="1"/>
          <w:sz w:val="24"/>
          <w:szCs w:val="24"/>
        </w:rPr>
        <w:t xml:space="preserve"> This study explores how different surface characteristics impact the morphological and functional differentiation of ne</w:t>
      </w:r>
      <w:r>
        <w:rPr>
          <w:rFonts w:ascii="Times New Roman" w:hAnsi="Times New Roman" w:eastAsia="Cambria" w:cs="Times New Roman"/>
          <w:kern w:val="1"/>
          <w:sz w:val="24"/>
          <w:szCs w:val="24"/>
        </w:rPr>
        <w:t xml:space="preserve">uroblastoma cells, particularly focusing on the SH-SY5Y cell line. </w:t>
      </w:r>
      <w:r>
        <w:rPr>
          <w:rFonts w:ascii="Times New Roman" w:hAnsi="Times New Roman" w:cs="Times New Roman"/>
          <w:color w:val="1E1D40"/>
          <w:sz w:val="24"/>
          <w:szCs w:val="24"/>
        </w:rPr>
        <w:t>The human-derived SH-SY5Y cell line is a simple and inexpensive </w:t>
      </w:r>
      <w:r>
        <w:rPr>
          <w:rFonts w:ascii="Times New Roman" w:hAnsi="Times New Roman" w:cs="Times New Roman"/>
          <w:i/>
          <w:iCs/>
          <w:color w:val="1E1D40"/>
          <w:sz w:val="24"/>
          <w:szCs w:val="24"/>
        </w:rPr>
        <w:t>in vitro</w:t>
      </w:r>
      <w:r>
        <w:rPr>
          <w:rFonts w:ascii="Times New Roman" w:hAnsi="Times New Roman" w:cs="Times New Roman"/>
          <w:color w:val="1E1D40"/>
          <w:sz w:val="24"/>
          <w:szCs w:val="24"/>
        </w:rPr>
        <w:t> experimental</w:t>
      </w:r>
      <w:r>
        <w:rPr>
          <w:rFonts w:ascii="Times New Roman" w:hAnsi="Times New Roman" w:cs="Times New Roman"/>
          <w:color w:val="1E1D40"/>
          <w:sz w:val="24"/>
          <w:szCs w:val="24"/>
          <w:lang w:val="en-US"/>
        </w:rPr>
        <w:t xml:space="preserve"> </w:t>
      </w:r>
      <w:r>
        <w:rPr>
          <w:rFonts w:ascii="Times New Roman" w:hAnsi="Times New Roman" w:cs="Times New Roman"/>
          <w:sz w:val="24"/>
          <w:szCs w:val="24"/>
        </w:rPr>
        <w:t xml:space="preserve"> neuron-like </w:t>
      </w:r>
      <w:r>
        <w:rPr>
          <w:rFonts w:ascii="Times New Roman" w:hAnsi="Times New Roman" w:cs="Times New Roman"/>
          <w:color w:val="1E1D40"/>
          <w:sz w:val="24"/>
          <w:szCs w:val="24"/>
        </w:rPr>
        <w:t>model for studying</w:t>
      </w:r>
      <w:r>
        <w:rPr>
          <w:rFonts w:ascii="Times New Roman" w:hAnsi="Times New Roman" w:cs="Times New Roman"/>
          <w:color w:val="1E1D40"/>
          <w:sz w:val="24"/>
          <w:szCs w:val="24"/>
          <w:lang w:val="en-US"/>
        </w:rPr>
        <w:t xml:space="preserve"> </w:t>
      </w:r>
      <w:r>
        <w:rPr>
          <w:rFonts w:ascii="Times New Roman" w:hAnsi="Times New Roman" w:eastAsia="Cambria" w:cs="Times New Roman"/>
          <w:color w:val="000000"/>
          <w:sz w:val="24"/>
          <w:szCs w:val="24"/>
          <w:lang w:val="en-GB"/>
        </w:rPr>
        <w:t>microenvironment influences</w:t>
      </w:r>
      <w:r>
        <w:rPr>
          <w:rFonts w:ascii="Times New Roman" w:hAnsi="Times New Roman" w:cs="Times New Roman"/>
          <w:color w:val="1E1D40"/>
          <w:sz w:val="24"/>
          <w:szCs w:val="24"/>
        </w:rPr>
        <w:t>.</w:t>
      </w:r>
      <w:r>
        <w:rPr>
          <w:rFonts w:hint="default" w:ascii="Times New Roman" w:hAnsi="Times New Roman" w:cs="Times New Roman"/>
          <w:color w:val="1E1D40"/>
          <w:sz w:val="24"/>
          <w:szCs w:val="24"/>
          <w:lang w:val="ru-RU"/>
        </w:rPr>
        <w:t xml:space="preserve"> </w:t>
      </w:r>
      <w:r>
        <w:rPr>
          <w:rFonts w:ascii="Times New Roman" w:hAnsi="Times New Roman" w:eastAsia="Cambria" w:cs="Times New Roman"/>
          <w:kern w:val="1"/>
          <w:sz w:val="24"/>
          <w:szCs w:val="24"/>
        </w:rPr>
        <w:t>Recent research highlights the role of surface topography and chemical composition in guiding the differ</w:t>
      </w:r>
      <w:r>
        <w:rPr>
          <w:rFonts w:ascii="Times New Roman" w:hAnsi="Times New Roman" w:eastAsia="Cambria" w:cs="Times New Roman"/>
          <w:color w:val="000000" w:themeColor="text1"/>
          <w:kern w:val="1"/>
          <w:sz w:val="24"/>
          <w:szCs w:val="24"/>
          <w14:textFill>
            <w14:solidFill>
              <w14:schemeClr w14:val="tx1"/>
            </w14:solidFill>
          </w14:textFill>
        </w:rPr>
        <w:t xml:space="preserve">entiation process. </w:t>
      </w:r>
      <w:r>
        <w:rPr>
          <w:rFonts w:ascii="Times New Roman" w:hAnsi="Times New Roman" w:eastAsia="SimSun" w:cs="Times New Roman"/>
          <w:color w:val="000000" w:themeColor="text1"/>
          <w:sz w:val="24"/>
          <w:szCs w:val="24"/>
          <w14:textFill>
            <w14:solidFill>
              <w14:schemeClr w14:val="tx1"/>
            </w14:solidFill>
          </w14:textFill>
        </w:rPr>
        <w:t>So, s</w:t>
      </w:r>
      <w:r>
        <w:rPr>
          <w:rFonts w:ascii="Times New Roman" w:hAnsi="Times New Roman" w:eastAsia="SimSun" w:cs="Times New Roman"/>
          <w:color w:val="000000" w:themeColor="text1"/>
          <w:sz w:val="24"/>
          <w:szCs w:val="24"/>
          <w:lang w:val="en-US"/>
          <w14:textFill>
            <w14:solidFill>
              <w14:schemeClr w14:val="tx1"/>
            </w14:solidFill>
          </w14:textFill>
        </w:rPr>
        <w:t>tretching and changing shape is an indicator, th</w:t>
      </w:r>
      <w:r>
        <w:rPr>
          <w:rFonts w:hint="default" w:ascii="Times New Roman" w:hAnsi="Times New Roman" w:eastAsia="SimSun" w:cs="Times New Roman"/>
          <w:color w:val="000000" w:themeColor="text1"/>
          <w:sz w:val="24"/>
          <w:szCs w:val="24"/>
          <w:lang w:val="en-US"/>
          <w14:textFill>
            <w14:solidFill>
              <w14:schemeClr w14:val="tx1"/>
            </w14:solidFill>
          </w14:textFill>
        </w:rPr>
        <w:t>at</w:t>
      </w:r>
      <w:r>
        <w:rPr>
          <w:rFonts w:ascii="Times New Roman" w:hAnsi="Times New Roman" w:eastAsia="SimSun" w:cs="Times New Roman"/>
          <w:color w:val="000000" w:themeColor="text1"/>
          <w:sz w:val="24"/>
          <w:szCs w:val="24"/>
          <w:lang w:val="en-US"/>
          <w14:textFill>
            <w14:solidFill>
              <w14:schemeClr w14:val="tx1"/>
            </w14:solidFill>
          </w14:textFill>
        </w:rPr>
        <w:t xml:space="preserve"> means the metabolism in the cell has also changed</w:t>
      </w:r>
      <w:r>
        <w:rPr>
          <w:rFonts w:ascii="Times New Roman" w:hAnsi="Times New Roman" w:eastAsia="SimSun" w:cs="Times New Roman"/>
          <w:color w:val="000000" w:themeColor="text1"/>
          <w:sz w:val="24"/>
          <w:szCs w:val="24"/>
          <w14:textFill>
            <w14:solidFill>
              <w14:schemeClr w14:val="tx1"/>
            </w14:solidFill>
          </w14:textFill>
        </w:rPr>
        <w:t xml:space="preserve">. Studies have shown that specific topographical cues can induce neuronal differentiation or inhibit cell proliferation by mimicking the microenvironment of neural tissues. </w:t>
      </w:r>
      <w:r>
        <w:rPr>
          <w:rFonts w:ascii="Times New Roman" w:hAnsi="Times New Roman" w:eastAsia="Cambria" w:cs="Times New Roman"/>
          <w:kern w:val="1"/>
          <w:sz w:val="24"/>
          <w:szCs w:val="24"/>
        </w:rPr>
        <w:t>By maintaining specific surface characteristics and culture conditions, researchers can achieve stable cell populations that exhibit reliable differentiation patterns over extended periods. This stability is crucial for studying neurodevelopmental processes</w:t>
      </w:r>
      <w:r>
        <w:rPr>
          <w:rFonts w:ascii="Times New Roman" w:hAnsi="Times New Roman" w:eastAsia="Cambria" w:cs="Times New Roman"/>
          <w:kern w:val="1"/>
          <w:sz w:val="24"/>
          <w:szCs w:val="24"/>
          <w:lang w:val="en-US"/>
        </w:rPr>
        <w:t>.</w:t>
      </w:r>
      <w:r>
        <w:rPr>
          <w:rFonts w:hint="default" w:ascii="Times New Roman" w:hAnsi="Times New Roman" w:eastAsia="Cambria" w:cs="Times New Roman"/>
          <w:kern w:val="1"/>
          <w:sz w:val="24"/>
          <w:szCs w:val="24"/>
          <w:lang w:val="en-US"/>
        </w:rPr>
        <w:t>[1]</w:t>
      </w:r>
      <w:r>
        <w:rPr>
          <w:rFonts w:ascii="Times New Roman" w:hAnsi="Times New Roman" w:eastAsia="Cambria" w:cs="Times New Roman"/>
          <w:kern w:val="1"/>
          <w:sz w:val="24"/>
          <w:szCs w:val="24"/>
        </w:rPr>
        <w:t xml:space="preserve"> </w:t>
      </w:r>
    </w:p>
    <w:p w14:paraId="7279D633">
      <w:pPr>
        <w:keepNext w:val="0"/>
        <w:keepLines w:val="0"/>
        <w:pageBreakBefore w:val="0"/>
        <w:widowControl w:val="0"/>
        <w:kinsoku/>
        <w:wordWrap/>
        <w:overflowPunct/>
        <w:topLinePunct w:val="0"/>
        <w:autoSpaceDE w:val="0"/>
        <w:autoSpaceDN w:val="0"/>
        <w:bidi w:val="0"/>
        <w:adjustRightInd w:val="0"/>
        <w:snapToGrid/>
        <w:ind w:firstLine="397" w:firstLineChars="0"/>
        <w:textAlignment w:val="auto"/>
        <w:rPr>
          <w:rFonts w:ascii="Times New Roman" w:hAnsi="Times New Roman" w:eastAsia="Cambria" w:cs="Times New Roman"/>
          <w:kern w:val="1"/>
          <w:sz w:val="24"/>
          <w:szCs w:val="24"/>
          <w:lang w:val="ru-RU"/>
        </w:rPr>
      </w:pPr>
      <w:r>
        <w:rPr>
          <w:rFonts w:hint="default" w:ascii="Times New Roman" w:hAnsi="Times New Roman" w:eastAsia="Cambria"/>
          <w:color w:val="000000"/>
          <w:sz w:val="24"/>
          <w:szCs w:val="24"/>
          <w:lang w:val="en-GB"/>
        </w:rPr>
        <w:t>Films with different topographies were obtained for growing cells. Films were made with 4 % PHB</w:t>
      </w:r>
      <w:r>
        <w:rPr>
          <w:rFonts w:hint="default" w:ascii="Times New Roman" w:hAnsi="Times New Roman" w:eastAsia="Cambria"/>
          <w:color w:val="000000"/>
          <w:sz w:val="24"/>
          <w:szCs w:val="24"/>
          <w:lang w:val="ru-RU"/>
        </w:rPr>
        <w:t xml:space="preserve"> (Poly(3-hydroxybutyrate))</w:t>
      </w:r>
      <w:r>
        <w:rPr>
          <w:rFonts w:hint="default" w:ascii="Times New Roman" w:hAnsi="Times New Roman" w:eastAsia="Cambria"/>
          <w:color w:val="000000"/>
          <w:sz w:val="24"/>
          <w:szCs w:val="24"/>
          <w:lang w:val="en-US"/>
        </w:rPr>
        <w:t>[2]</w:t>
      </w:r>
      <w:r>
        <w:rPr>
          <w:rFonts w:hint="default" w:ascii="Times New Roman" w:hAnsi="Times New Roman" w:eastAsia="Cambria"/>
          <w:color w:val="000000"/>
          <w:sz w:val="24"/>
          <w:szCs w:val="24"/>
          <w:lang w:val="en-GB"/>
        </w:rPr>
        <w:t xml:space="preserve"> solution in chloroform, placed on a slip glass with ridges, made with sandpaper grit of 60, 120, 240, 400, 1000 and 6000,  followed by air-drying for 1 day. In the </w:t>
      </w:r>
      <w:r>
        <w:rPr>
          <w:rFonts w:hint="default" w:ascii="Times New Roman" w:hAnsi="Times New Roman" w:eastAsia="Cambria"/>
          <w:color w:val="000000"/>
          <w:sz w:val="24"/>
          <w:szCs w:val="24"/>
          <w:lang w:val="en-US"/>
        </w:rPr>
        <w:t>Figure</w:t>
      </w:r>
      <w:r>
        <w:rPr>
          <w:rFonts w:hint="default" w:ascii="Times New Roman" w:hAnsi="Times New Roman" w:eastAsia="Cambria"/>
          <w:color w:val="000000"/>
          <w:sz w:val="24"/>
          <w:szCs w:val="24"/>
          <w:lang w:val="en-GB"/>
        </w:rPr>
        <w:t xml:space="preserve"> 1 we visualize the results of measuring the thickness of the ridges  and the sandpaper grid that was used.</w:t>
      </w:r>
      <w:r>
        <w:rPr>
          <w:rFonts w:hint="default" w:ascii="Times New Roman" w:hAnsi="Times New Roman" w:eastAsia="Cambria"/>
          <w:color w:val="000000"/>
          <w:sz w:val="24"/>
          <w:szCs w:val="24"/>
          <w:lang w:val="en-US"/>
        </w:rPr>
        <w:t xml:space="preserve"> </w:t>
      </w:r>
      <w:r>
        <w:rPr>
          <w:rFonts w:hint="default" w:ascii="Times New Roman" w:hAnsi="Times New Roman" w:eastAsia="Cambria"/>
          <w:color w:val="000000"/>
          <w:sz w:val="24"/>
          <w:szCs w:val="24"/>
          <w:lang w:val="en-GB"/>
        </w:rPr>
        <w:t>The air-dried PHB solid films were taken out, cut into small pieces and put into 24-well plate. SH-SY5Y cells were added into 24-well plate (about 2000 cells per well), and incubated for 7 days.</w:t>
      </w:r>
      <w:r>
        <w:rPr>
          <w:rFonts w:hint="default" w:ascii="Times New Roman" w:hAnsi="Times New Roman" w:eastAsia="Cambria"/>
          <w:color w:val="000000"/>
          <w:sz w:val="24"/>
          <w:szCs w:val="24"/>
          <w:lang w:val="ru-RU"/>
        </w:rPr>
        <w:t xml:space="preserve"> </w:t>
      </w:r>
      <w:r>
        <w:rPr>
          <w:rFonts w:hint="default" w:ascii="Times New Roman" w:hAnsi="Times New Roman" w:eastAsia="Cambria"/>
          <w:color w:val="000000"/>
          <w:sz w:val="24"/>
          <w:szCs w:val="24"/>
          <w:lang w:val="en-GB"/>
        </w:rPr>
        <w:t xml:space="preserve">The observations indicate that neuroblastoma cells successfully attach to the polymer, with surface topography influencing the direction of cell elongation. This behavior suggests a link to neuronal polarity, as cells respond to topographical cues from the substrate. Initial visual analysis supports this relationship, and further investigation will focus on identifying correlations between ridge thickness and elongation direction. </w:t>
      </w:r>
    </w:p>
    <w:p w14:paraId="0B18E180">
      <w:pPr>
        <w:keepNext w:val="0"/>
        <w:keepLines w:val="0"/>
        <w:pageBreakBefore w:val="0"/>
        <w:widowControl w:val="0"/>
        <w:kinsoku/>
        <w:wordWrap/>
        <w:overflowPunct/>
        <w:topLinePunct w:val="0"/>
        <w:autoSpaceDE w:val="0"/>
        <w:autoSpaceDN w:val="0"/>
        <w:bidi w:val="0"/>
        <w:adjustRightInd w:val="0"/>
        <w:snapToGrid/>
        <w:ind w:firstLine="397" w:firstLineChars="0"/>
        <w:textAlignment w:val="auto"/>
        <w:rPr>
          <w:rFonts w:hint="default" w:ascii="Times New Roman" w:hAnsi="Times New Roman" w:eastAsia="Cambria" w:cs="Times New Roman"/>
          <w:color w:val="000000"/>
          <w:sz w:val="24"/>
          <w:szCs w:val="24"/>
          <w:lang w:val="en-GB"/>
        </w:rPr>
      </w:pPr>
      <w:r>
        <w:rPr>
          <w:rFonts w:ascii="Times New Roman" w:hAnsi="Times New Roman" w:eastAsia="Cambria" w:cs="Times New Roman"/>
          <w:kern w:val="1"/>
          <w:sz w:val="24"/>
          <w:szCs w:val="24"/>
        </w:rPr>
        <w:t xml:space="preserve">Optimizing surface properties such as roughness, chemical composition, and mechanical characteristics can significantly enhance neuronal differentiation, providing a robust platform for neurobiological research and </w:t>
      </w:r>
      <w:r>
        <w:rPr>
          <w:rFonts w:ascii="Times New Roman" w:hAnsi="Times New Roman" w:eastAsia="SimSun" w:cs="Times New Roman"/>
          <w:sz w:val="24"/>
          <w:szCs w:val="24"/>
        </w:rPr>
        <w:t>investigating the influence of the surface on neuroblastoma cell differentiation is essential for gaining insights into the tumor microenvironment, ide</w:t>
      </w:r>
      <w:r>
        <w:rPr>
          <w:rFonts w:hint="default" w:ascii="Times New Roman" w:hAnsi="Times New Roman" w:eastAsia="SimSun" w:cs="Times New Roman"/>
          <w:sz w:val="24"/>
          <w:szCs w:val="24"/>
        </w:rPr>
        <w:t>ntifying potential therapeutic targets</w:t>
      </w:r>
      <w:r>
        <w:rPr>
          <w:rFonts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and </w:t>
      </w:r>
      <w:r>
        <w:rPr>
          <w:rFonts w:hint="default" w:ascii="Times New Roman" w:hAnsi="Times New Roman" w:eastAsia="Cambria" w:cs="Times New Roman"/>
          <w:color w:val="000000"/>
          <w:sz w:val="24"/>
          <w:szCs w:val="24"/>
          <w:lang w:val="en-GB"/>
        </w:rPr>
        <w:t>for studying Alzheimer's and Parkinson’s diseases .</w:t>
      </w:r>
    </w:p>
    <w:p w14:paraId="154EBC89">
      <w:pPr>
        <w:jc w:val="center"/>
        <w:rPr>
          <w:rFonts w:hint="default" w:ascii="Times New Roman" w:hAnsi="Times New Roman" w:cs="Times New Roman" w:eastAsiaTheme="majorHAnsi"/>
          <w:sz w:val="24"/>
          <w:szCs w:val="24"/>
        </w:rPr>
      </w:pPr>
      <w:r>
        <w:rPr>
          <w:rFonts w:hint="default" w:ascii="Times New Roman" w:hAnsi="Times New Roman" w:cs="Times New Roman" w:eastAsiaTheme="majorHAnsi"/>
          <w:b/>
          <w:bCs/>
          <w:i w:val="0"/>
          <w:iCs w:val="0"/>
          <w:sz w:val="24"/>
          <w:szCs w:val="24"/>
        </w:rPr>
        <w:t>References</w:t>
      </w:r>
    </w:p>
    <w:p w14:paraId="5C18400B">
      <w:pPr>
        <w:numPr>
          <w:ilvl w:val="0"/>
          <w:numId w:val="1"/>
        </w:numPr>
        <w:tabs>
          <w:tab w:val="clear" w:pos="425"/>
        </w:tabs>
        <w:ind w:left="425" w:leftChars="0" w:hanging="425" w:firstLineChars="0"/>
        <w:rPr>
          <w:rFonts w:hint="default" w:ascii="Times New Roman" w:hAnsi="Times New Roman" w:cs="Times New Roman" w:eastAsiaTheme="majorHAnsi"/>
          <w:sz w:val="24"/>
          <w:szCs w:val="24"/>
        </w:rPr>
      </w:pPr>
      <w:r>
        <w:rPr>
          <w:rFonts w:hint="default" w:ascii="Times New Roman" w:hAnsi="Times New Roman" w:eastAsia="Cambria" w:cs="Times New Roman"/>
          <w:color w:val="000000"/>
          <w:sz w:val="24"/>
          <w:szCs w:val="24"/>
          <w:lang w:val="en-GB"/>
        </w:rPr>
        <w:t>Shipley MM, Mangold CA, Szpara ML. Differentiation of the SH-SY5Y Human Neuroblastoma Cell Line</w:t>
      </w:r>
      <w:r>
        <w:rPr>
          <w:rFonts w:hint="default" w:ascii="Times New Roman" w:hAnsi="Times New Roman" w:eastAsia="Cambria" w:cs="Times New Roman"/>
          <w:color w:val="000000"/>
          <w:sz w:val="24"/>
          <w:szCs w:val="24"/>
        </w:rPr>
        <w:t xml:space="preserve">, </w:t>
      </w:r>
      <w:r>
        <w:rPr>
          <w:rFonts w:hint="default" w:ascii="Times New Roman" w:hAnsi="Times New Roman" w:eastAsia="Cambria" w:cs="Times New Roman"/>
          <w:color w:val="000000"/>
          <w:sz w:val="24"/>
          <w:szCs w:val="24"/>
          <w:lang w:val="en-GB"/>
        </w:rPr>
        <w:t xml:space="preserve">2016. doi: 10.3791/53193. </w:t>
      </w:r>
    </w:p>
    <w:p w14:paraId="16D84DB3">
      <w:pPr>
        <w:numPr>
          <w:ilvl w:val="0"/>
          <w:numId w:val="1"/>
        </w:numPr>
        <w:tabs>
          <w:tab w:val="clear" w:pos="425"/>
        </w:tabs>
        <w:ind w:left="425" w:leftChars="0" w:hanging="425" w:firstLineChars="0"/>
      </w:pPr>
      <w:r>
        <w:rPr>
          <w:rFonts w:hint="default" w:ascii="Times New Roman" w:hAnsi="Times New Roman" w:eastAsia="SimSun" w:cs="Times New Roman"/>
          <w:sz w:val="24"/>
          <w:szCs w:val="24"/>
          <w:lang w:val="en-US"/>
        </w:rPr>
        <w:t xml:space="preserve">Bonartsev AP, et al. Biosynthesis of poly(3-hydroxybutyrate) copolymers by Azotobacter chroococcum 7B: A precursor feeding strategy. Prep Biochem Biotechnol. 2017 Feb 7;47(2):173-184. doi: 10.1080/10826068.2016.1188317. </w:t>
      </w:r>
    </w:p>
    <w:sectPr>
      <w:pgSz w:w="11906" w:h="16838"/>
      <w:pgMar w:top="1134" w:right="1361" w:bottom="1134" w:left="1361" w:header="851" w:footer="994"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Variable Small">
    <w:panose1 w:val="00000000000000000000"/>
    <w:charset w:val="00"/>
    <w:family w:val="auto"/>
    <w:pitch w:val="default"/>
    <w:sig w:usb0="A00002FF" w:usb1="0000000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C9065"/>
    <w:multiLevelType w:val="singleLevel"/>
    <w:tmpl w:val="222C9065"/>
    <w:lvl w:ilvl="0" w:tentative="0">
      <w:start w:val="1"/>
      <w:numFmt w:val="decimal"/>
      <w:lvlText w:val="%1."/>
      <w:lvlJc w:val="left"/>
      <w:pPr>
        <w:tabs>
          <w:tab w:val="left" w:pos="425"/>
        </w:tabs>
        <w:ind w:left="425" w:leftChars="0" w:hanging="425" w:firstLineChars="0"/>
      </w:pPr>
      <w:rPr>
        <w:rFonts w:hint="default"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429F1"/>
    <w:rsid w:val="396429F1"/>
    <w:rsid w:val="6A7B0728"/>
    <w:rsid w:val="7C492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unhideWhenUsed/>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2025-03-15T14:02:00Z</dcterms:created>
  <dc:creator>Diana</dc:creator>
  <cp:lastModifiedBy>WPS_1742286350</cp:lastModifiedBy>
  <dcterms:modified xsi:type="dcterms:W3CDTF">2025-03-26T18:40:37Z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64515C3D626D43C686CE2C9703A34F8B_13</vt:lpwstr>
  </property>
</Properties>
</file>