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10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07AC">
        <w:rPr>
          <w:b/>
          <w:color w:val="000000"/>
        </w:rPr>
        <w:t>Модель бинарного дерева и эмпирический анализ</w:t>
      </w:r>
    </w:p>
    <w:p w:rsidR="00130241" w:rsidRDefault="00F10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Чжан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Сяохань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F10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F107AC" w:rsidRPr="00F107AC">
        <w:rPr>
          <w:i/>
        </w:rPr>
        <w:t>343729458@qq.com</w:t>
      </w:r>
    </w:p>
    <w:p w:rsidR="009770D9" w:rsidRPr="009770D9" w:rsidRDefault="009770D9" w:rsidP="0097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70D9">
        <w:rPr>
          <w:color w:val="000000"/>
        </w:rPr>
        <w:t>Конвертируемые облигации являются важным инструментом финансирования для компаний, выходящих на биржу в нашей стране. Благодаря низким затратам на привлечение капитала, высокой гибкости и способности привлекать инвесторов, они в последние годы получили широкое внимание и признание на капитальном рынке. Однако с изменениями рыночной среды и психологии инвесторов проблемы ценообразования конвертируемых облигаций становятся все более сложными. Эти ценные бумаги обладают двойной природой — долговой и долевой, что сопровождается множеством условий и охватывает различные факторы, такие как основные показатели компании, рыночные колебания и предпочтения рисков инвесторов, что усложняет процесс их оценки.</w:t>
      </w:r>
    </w:p>
    <w:p w:rsidR="009770D9" w:rsidRPr="009770D9" w:rsidRDefault="009770D9" w:rsidP="0097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70D9">
        <w:rPr>
          <w:color w:val="000000"/>
        </w:rPr>
        <w:t xml:space="preserve">В ответ на эти вызовы данная статья сосредоточена на текущем состоянии и развитии рынка конвертируемых облигаций в нашей стране, сравнивая различные методы ценообразования. В качестве основного инструмента исследования </w:t>
      </w:r>
      <w:proofErr w:type="gramStart"/>
      <w:r w:rsidRPr="009770D9">
        <w:rPr>
          <w:color w:val="000000"/>
        </w:rPr>
        <w:t>выбран</w:t>
      </w:r>
      <w:proofErr w:type="gramEnd"/>
      <w:r w:rsidRPr="009770D9">
        <w:rPr>
          <w:color w:val="000000"/>
        </w:rPr>
        <w:t xml:space="preserve"> модель бинарного дерева, с целью создания более точной модели ценообразования конвертируемых облигаций, что повысит эффективность и прозрачность оценки этого финансового инструмента на рынке.</w:t>
      </w:r>
    </w:p>
    <w:p w:rsidR="009770D9" w:rsidRPr="009770D9" w:rsidRDefault="009770D9" w:rsidP="0097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70D9">
        <w:rPr>
          <w:color w:val="000000"/>
        </w:rPr>
        <w:t xml:space="preserve">В первую очередь, в статье систематически кратко описано текущее состояние рынка конвертируемых облигаций в нашей стране и прогнозируется его будущее развитие. В разделе обзора литературы автор подробно суммирует методы ценообразования конвертируемых </w:t>
      </w:r>
      <w:proofErr w:type="gramStart"/>
      <w:r w:rsidRPr="009770D9">
        <w:rPr>
          <w:color w:val="000000"/>
        </w:rPr>
        <w:t>облигаций</w:t>
      </w:r>
      <w:proofErr w:type="gramEnd"/>
      <w:r w:rsidRPr="009770D9">
        <w:rPr>
          <w:color w:val="000000"/>
        </w:rPr>
        <w:t xml:space="preserve"> как в стране, так и за рубежом, определяя ограничения текущих исследований в этой области и подчеркивая необходимость и значимость данного исследования.</w:t>
      </w:r>
    </w:p>
    <w:p w:rsidR="009770D9" w:rsidRPr="009770D9" w:rsidRDefault="009770D9" w:rsidP="0097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70D9">
        <w:rPr>
          <w:color w:val="000000"/>
        </w:rPr>
        <w:t xml:space="preserve">Во-вторых, статья представляет основные теоретические аспекты конвертируемых облигаций, включая их основные характеристики и условия, и глубоко анализирует сложность их структуры. Сравнивая различные модели ценообразования, подчеркивается интуитивная понятность, гибкость и применимость модели бинарного дерева, что в конечном итоге позволяет выбрать её в качестве основной модели исследования. При этом определяются два ключевых фактора, оказывающие значительное влияние на ценообразование: </w:t>
      </w:r>
      <w:proofErr w:type="spellStart"/>
      <w:r w:rsidRPr="009770D9">
        <w:rPr>
          <w:color w:val="000000"/>
        </w:rPr>
        <w:t>безрисковая</w:t>
      </w:r>
      <w:proofErr w:type="spellEnd"/>
      <w:r w:rsidRPr="009770D9">
        <w:rPr>
          <w:color w:val="000000"/>
        </w:rPr>
        <w:t xml:space="preserve"> процентная ставка и </w:t>
      </w:r>
      <w:proofErr w:type="spellStart"/>
      <w:r w:rsidRPr="009770D9">
        <w:rPr>
          <w:color w:val="000000"/>
        </w:rPr>
        <w:t>волатильность</w:t>
      </w:r>
      <w:proofErr w:type="spellEnd"/>
      <w:r w:rsidRPr="009770D9">
        <w:rPr>
          <w:color w:val="000000"/>
        </w:rPr>
        <w:t xml:space="preserve"> акции. В анализе рисков и доходов вводятся ограничения для конвертируемых облигаций с целью повышения адаптивности и точности модели.</w:t>
      </w:r>
    </w:p>
    <w:p w:rsidR="009770D9" w:rsidRPr="009770D9" w:rsidRDefault="009770D9" w:rsidP="0097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70D9">
        <w:rPr>
          <w:color w:val="000000"/>
        </w:rPr>
        <w:t xml:space="preserve">В разделе эмпирического анализа были выбраны несколько выборок данных по конвертируемым облигациям, которые были оценены с помощью модели бинарного дерева, а расчеты проводились с использованием </w:t>
      </w:r>
      <w:proofErr w:type="spellStart"/>
      <w:r w:rsidRPr="009770D9">
        <w:rPr>
          <w:color w:val="000000"/>
        </w:rPr>
        <w:t>MATLAB</w:t>
      </w:r>
      <w:proofErr w:type="spellEnd"/>
      <w:r w:rsidRPr="009770D9">
        <w:rPr>
          <w:color w:val="000000"/>
        </w:rPr>
        <w:t>, в результате чего были получены теоретические цены конвертируемых облигаций. Затем теоретические цены были сопоставлены с реальными рыночными ценами для расчета уровня ошибки модели и её корреляции, что позволило проверить обоснованность и эффективность модели бинарного дерева при практическом применении.</w:t>
      </w:r>
    </w:p>
    <w:p w:rsidR="00116478" w:rsidRPr="009770D9" w:rsidRDefault="009770D9" w:rsidP="0097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70D9">
        <w:rPr>
          <w:color w:val="000000"/>
        </w:rPr>
        <w:t>Данное исследование направлено на обеспечение более разумной и научной методологии оценки конвертируемых облигаций, а также на предоставление практических рекомендаций для участников рынка при принятии инвестиционных решений и управлении рисками.</w:t>
      </w:r>
    </w:p>
    <w:sectPr w:rsidR="00116478" w:rsidRPr="009770D9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D6838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70D9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107AC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7</cp:revision>
  <dcterms:created xsi:type="dcterms:W3CDTF">2025-03-04T06:13:00Z</dcterms:created>
  <dcterms:modified xsi:type="dcterms:W3CDTF">2025-04-21T09:52:00Z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