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3B97C" w14:textId="77777777" w:rsidR="001F61DD" w:rsidRDefault="00000000">
      <w:pPr>
        <w:jc w:val="center"/>
        <w:rPr>
          <w:rFonts w:ascii="Times New Roman" w:hAnsi="Times New Roman" w:cs="Times New Roman"/>
          <w:b/>
          <w:bCs/>
        </w:rPr>
      </w:pPr>
      <w:r>
        <w:rPr>
          <w:rFonts w:ascii="Times New Roman" w:hAnsi="Times New Roman" w:cs="Times New Roman"/>
          <w:b/>
          <w:bCs/>
        </w:rPr>
        <w:t>Structural and Dynamic Insights into Antioxidant–Lens Membrane Interactions via Molecular Simulations</w:t>
      </w:r>
    </w:p>
    <w:p w14:paraId="254FB86B" w14:textId="77777777" w:rsidR="001F61DD" w:rsidRPr="009D7D58" w:rsidRDefault="00000000">
      <w:pPr>
        <w:jc w:val="center"/>
        <w:rPr>
          <w:rFonts w:ascii="Times New Roman" w:hAnsi="Times New Roman" w:cs="Times New Roman"/>
          <w:b/>
          <w:bCs/>
          <w:i/>
          <w:iCs/>
        </w:rPr>
      </w:pPr>
      <w:r w:rsidRPr="009D7D58">
        <w:rPr>
          <w:rFonts w:ascii="Times New Roman" w:hAnsi="Times New Roman" w:cs="Times New Roman"/>
          <w:b/>
          <w:bCs/>
          <w:i/>
          <w:iCs/>
        </w:rPr>
        <w:t xml:space="preserve">Yu Xiang, Marine </w:t>
      </w:r>
      <w:proofErr w:type="spellStart"/>
      <w:r w:rsidRPr="009D7D58">
        <w:rPr>
          <w:rFonts w:ascii="Times New Roman" w:hAnsi="Times New Roman" w:cs="Times New Roman"/>
          <w:b/>
          <w:bCs/>
          <w:i/>
          <w:iCs/>
        </w:rPr>
        <w:t>Bozdaganyan</w:t>
      </w:r>
      <w:proofErr w:type="spellEnd"/>
    </w:p>
    <w:p w14:paraId="7E62A9C6" w14:textId="77777777" w:rsidR="001F61DD" w:rsidRDefault="00000000">
      <w:pPr>
        <w:shd w:val="clear" w:color="auto" w:fill="FFFFFF"/>
        <w:jc w:val="center"/>
        <w:rPr>
          <w:color w:val="000000"/>
        </w:rPr>
      </w:pPr>
      <w:r>
        <w:rPr>
          <w:rFonts w:ascii="Times New Roman" w:hAnsi="Times New Roman" w:cs="Times New Roman"/>
          <w:i/>
          <w:color w:val="000000"/>
        </w:rPr>
        <w:t>Student, 4th year of the bachelor program</w:t>
      </w:r>
    </w:p>
    <w:p w14:paraId="2A180705" w14:textId="77777777" w:rsidR="001F61DD" w:rsidRDefault="00000000">
      <w:pPr>
        <w:shd w:val="clear" w:color="auto" w:fill="FFFFFF"/>
        <w:jc w:val="center"/>
        <w:rPr>
          <w:color w:val="000000"/>
        </w:rPr>
      </w:pPr>
      <w:r>
        <w:rPr>
          <w:i/>
          <w:color w:val="000000"/>
        </w:rPr>
        <w:t>Shenzhen MSU-BIT University</w:t>
      </w:r>
    </w:p>
    <w:p w14:paraId="76D2087B" w14:textId="77777777" w:rsidR="001F61DD" w:rsidRDefault="00000000">
      <w:pPr>
        <w:shd w:val="clear" w:color="auto" w:fill="FFFFFF"/>
        <w:jc w:val="center"/>
        <w:rPr>
          <w:color w:val="000000"/>
        </w:rPr>
      </w:pPr>
      <w:r>
        <w:rPr>
          <w:rFonts w:ascii="Times New Roman" w:hAnsi="Times New Roman" w:cs="Times New Roman"/>
          <w:i/>
          <w:color w:val="000000"/>
        </w:rPr>
        <w:t>Faculty of Biology, Shenzhen, China</w:t>
      </w:r>
    </w:p>
    <w:p w14:paraId="729C4354" w14:textId="77777777" w:rsidR="001F61DD" w:rsidRDefault="00000000">
      <w:pPr>
        <w:shd w:val="clear" w:color="auto" w:fill="FFFFFF"/>
        <w:jc w:val="center"/>
        <w:rPr>
          <w:color w:val="000000"/>
        </w:rPr>
      </w:pPr>
      <w:r>
        <w:rPr>
          <w:rFonts w:ascii="Times New Roman" w:hAnsi="Times New Roman" w:cs="Times New Roman"/>
          <w:i/>
          <w:color w:val="000000"/>
        </w:rPr>
        <w:t xml:space="preserve">E-mail: </w:t>
      </w:r>
      <w:hyperlink>
        <w:r>
          <w:rPr>
            <w:rStyle w:val="Hyperlink"/>
            <w:rFonts w:ascii="Times New Roman" w:hAnsi="Times New Roman" w:cs="Times New Roman"/>
            <w:i/>
            <w:color w:val="000000"/>
          </w:rPr>
          <w:t>1120210249@smbu.edu.cn</w:t>
        </w:r>
      </w:hyperlink>
    </w:p>
    <w:p w14:paraId="6FCFD60A" w14:textId="77777777" w:rsidR="001F61DD" w:rsidRDefault="00000000">
      <w:pPr>
        <w:ind w:firstLine="403"/>
        <w:jc w:val="both"/>
        <w:rPr>
          <w:rFonts w:ascii="Times New Roman" w:hAnsi="Times New Roman" w:cs="Times New Roman"/>
          <w:sz w:val="20"/>
          <w:szCs w:val="20"/>
        </w:rPr>
      </w:pPr>
      <w:r>
        <w:rPr>
          <w:rFonts w:ascii="Times New Roman" w:hAnsi="Times New Roman" w:cs="Times New Roman"/>
        </w:rPr>
        <w:t xml:space="preserve">The unique lipid composition of the lens membrane renders it highly susceptible to oxidative stress damage. Antioxidants, such as vitamin E and lutein, may protect membrane stability by inhibiting lipid peroxidation. Molecular dynamics (MD) simulations serve as a powerful tool to investigate membrane-molecule interactions, offering atomic-level insights into dynamic processes. Based on the structural and compositional features of the lens membrane, bilayer membrane models with varying lipid compositions—representing age-related and cataract-associated states—are constructed to simulate compositional changes during aging and pathological conditions [1]. </w:t>
      </w:r>
    </w:p>
    <w:p w14:paraId="13532676" w14:textId="77777777" w:rsidR="001F61DD" w:rsidRDefault="00000000">
      <w:pPr>
        <w:ind w:firstLine="403"/>
        <w:jc w:val="both"/>
        <w:rPr>
          <w:rFonts w:ascii="Times New Roman" w:hAnsi="Times New Roman" w:cs="Times New Roman"/>
          <w:sz w:val="20"/>
          <w:szCs w:val="20"/>
        </w:rPr>
      </w:pPr>
      <w:r>
        <w:rPr>
          <w:rFonts w:ascii="Times New Roman" w:hAnsi="Times New Roman" w:cs="Times New Roman"/>
        </w:rPr>
        <w:t xml:space="preserve">Antioxidants are embedded into the membrane, and all-atom CHARMM force field simulations are performed in GROMACS software [2], starting with energy minimization followed by NVT equilibration and production-phase simulations to observe the stability and behavior of antioxidants within the membrane. Structural analyses (e.g., root mean square deviation (RMSD), radial distribution function (RDF)), dynamical analyses (e.g., diffusion coefficients), and membrane property evaluations (e.g., thickness, fluidity) are conducted to assess the impact of antioxidant insertion on membrane stability and function. Umbrella sampling method is used quantify free energy profiles of antioxidant-membrane interactions. These simulations elucidate the molecular mechanisms by which antioxidants stabilize the lens membrane under oxidative stress, providing a theoretical foundation for developing therapeutic strategies against cataracts [3]. </w:t>
      </w:r>
    </w:p>
    <w:p w14:paraId="77F734D6" w14:textId="77777777" w:rsidR="001F61DD" w:rsidRDefault="00000000">
      <w:pPr>
        <w:ind w:firstLine="403"/>
        <w:jc w:val="both"/>
        <w:rPr>
          <w:rFonts w:ascii="Times New Roman" w:hAnsi="Times New Roman" w:cs="Times New Roman"/>
          <w:sz w:val="20"/>
          <w:szCs w:val="20"/>
        </w:rPr>
      </w:pPr>
      <w:r>
        <w:rPr>
          <w:rFonts w:ascii="Times New Roman" w:hAnsi="Times New Roman" w:cs="Times New Roman"/>
        </w:rPr>
        <w:t>Future studies may integrate multiscale simulations (e.g., coarse-grained models) to explore membrane behaviors at larger temporal and spatial scales, further bridging molecular-level insights with macroscopic physiological outcomes.</w:t>
      </w:r>
    </w:p>
    <w:p w14:paraId="61B2E9E1" w14:textId="77777777" w:rsidR="001F61DD" w:rsidRDefault="00000000">
      <w:pPr>
        <w:shd w:val="clear" w:color="auto" w:fill="FFFFFF"/>
        <w:jc w:val="center"/>
        <w:rPr>
          <w:color w:val="000000"/>
        </w:rPr>
      </w:pPr>
      <w:r>
        <w:rPr>
          <w:rFonts w:ascii="Times New Roman" w:hAnsi="Times New Roman" w:cs="Times New Roman"/>
          <w:b/>
          <w:color w:val="000000"/>
        </w:rPr>
        <w:t>Literature</w:t>
      </w:r>
    </w:p>
    <w:p w14:paraId="27C34B8F" w14:textId="77777777" w:rsidR="001F61DD" w:rsidRDefault="00000000">
      <w:pPr>
        <w:ind w:firstLine="403"/>
        <w:jc w:val="both"/>
        <w:rPr>
          <w:rFonts w:ascii="Times New Roman" w:hAnsi="Times New Roman" w:cs="Times New Roman"/>
          <w:sz w:val="20"/>
          <w:szCs w:val="20"/>
        </w:rPr>
      </w:pPr>
      <w:r>
        <w:rPr>
          <w:rFonts w:ascii="Times New Roman" w:hAnsi="Times New Roman" w:cs="Times New Roman"/>
        </w:rPr>
        <w:t xml:space="preserve">[1] Fernandes, J. B., Yu, Y., &amp; </w:t>
      </w:r>
      <w:proofErr w:type="spellStart"/>
      <w:r>
        <w:rPr>
          <w:rFonts w:ascii="Times New Roman" w:hAnsi="Times New Roman" w:cs="Times New Roman"/>
        </w:rPr>
        <w:t>Klauda</w:t>
      </w:r>
      <w:proofErr w:type="spellEnd"/>
      <w:r>
        <w:rPr>
          <w:rFonts w:ascii="Times New Roman" w:hAnsi="Times New Roman" w:cs="Times New Roman"/>
        </w:rPr>
        <w:t>, J. B. (2022). Molecular dynamics simulations of the human ocular lens with age and cataract//</w:t>
      </w:r>
      <w:proofErr w:type="spellStart"/>
      <w:r>
        <w:rPr>
          <w:rFonts w:ascii="Times New Roman" w:hAnsi="Times New Roman" w:cs="Times New Roman"/>
        </w:rPr>
        <w:t>Biochimica</w:t>
      </w:r>
      <w:proofErr w:type="spellEnd"/>
      <w:r>
        <w:rPr>
          <w:rFonts w:ascii="Times New Roman" w:hAnsi="Times New Roman" w:cs="Times New Roman"/>
        </w:rPr>
        <w:t xml:space="preserve"> et </w:t>
      </w:r>
      <w:proofErr w:type="spellStart"/>
      <w:r>
        <w:rPr>
          <w:rFonts w:ascii="Times New Roman" w:hAnsi="Times New Roman" w:cs="Times New Roman"/>
        </w:rPr>
        <w:t>Biophysica</w:t>
      </w:r>
      <w:proofErr w:type="spellEnd"/>
      <w:r>
        <w:rPr>
          <w:rFonts w:ascii="Times New Roman" w:hAnsi="Times New Roman" w:cs="Times New Roman"/>
        </w:rPr>
        <w:t xml:space="preserve"> Acta (BBA)-</w:t>
      </w:r>
      <w:proofErr w:type="spellStart"/>
      <w:r>
        <w:rPr>
          <w:rFonts w:ascii="Times New Roman" w:hAnsi="Times New Roman" w:cs="Times New Roman"/>
        </w:rPr>
        <w:t>Biomembranes</w:t>
      </w:r>
      <w:proofErr w:type="spellEnd"/>
      <w:r>
        <w:rPr>
          <w:rFonts w:ascii="Times New Roman" w:hAnsi="Times New Roman" w:cs="Times New Roman"/>
        </w:rPr>
        <w:t>, 1864(11), 184025.</w:t>
      </w:r>
    </w:p>
    <w:p w14:paraId="0A36793B" w14:textId="77777777" w:rsidR="001F61DD" w:rsidRDefault="00000000">
      <w:pPr>
        <w:ind w:firstLine="403"/>
        <w:jc w:val="both"/>
        <w:rPr>
          <w:rFonts w:ascii="Times New Roman" w:hAnsi="Times New Roman" w:cs="Times New Roman"/>
          <w:sz w:val="20"/>
          <w:szCs w:val="20"/>
        </w:rPr>
      </w:pPr>
      <w:r>
        <w:rPr>
          <w:rFonts w:ascii="Times New Roman" w:hAnsi="Times New Roman" w:cs="Times New Roman"/>
        </w:rPr>
        <w:t xml:space="preserve">[2] Abraham, M. J., </w:t>
      </w:r>
      <w:proofErr w:type="spellStart"/>
      <w:r>
        <w:rPr>
          <w:rFonts w:ascii="Times New Roman" w:hAnsi="Times New Roman" w:cs="Times New Roman"/>
        </w:rPr>
        <w:t>Murtola</w:t>
      </w:r>
      <w:proofErr w:type="spellEnd"/>
      <w:r>
        <w:rPr>
          <w:rFonts w:ascii="Times New Roman" w:hAnsi="Times New Roman" w:cs="Times New Roman"/>
        </w:rPr>
        <w:t xml:space="preserve">, T., Schulz, R., </w:t>
      </w:r>
      <w:proofErr w:type="spellStart"/>
      <w:r>
        <w:rPr>
          <w:rFonts w:ascii="Times New Roman" w:hAnsi="Times New Roman" w:cs="Times New Roman"/>
        </w:rPr>
        <w:t>Páll</w:t>
      </w:r>
      <w:proofErr w:type="spellEnd"/>
      <w:r>
        <w:rPr>
          <w:rFonts w:ascii="Times New Roman" w:hAnsi="Times New Roman" w:cs="Times New Roman"/>
        </w:rPr>
        <w:t>, S., Smith, J. C., Hess, B., &amp; Lindahl, E. (2015). GROMACS: High performance molecular simulations through multi-level parallelism from laptops to supercomputers//</w:t>
      </w:r>
      <w:proofErr w:type="spellStart"/>
      <w:r>
        <w:rPr>
          <w:rFonts w:ascii="Times New Roman" w:hAnsi="Times New Roman" w:cs="Times New Roman"/>
        </w:rPr>
        <w:t>SoftwareX</w:t>
      </w:r>
      <w:proofErr w:type="spellEnd"/>
      <w:r>
        <w:rPr>
          <w:rFonts w:ascii="Times New Roman" w:hAnsi="Times New Roman" w:cs="Times New Roman"/>
        </w:rPr>
        <w:t>, 1, 19-25.</w:t>
      </w:r>
    </w:p>
    <w:p w14:paraId="66D57C76" w14:textId="77777777" w:rsidR="001F61DD" w:rsidRDefault="00000000">
      <w:pPr>
        <w:ind w:firstLine="403"/>
        <w:jc w:val="both"/>
        <w:rPr>
          <w:rFonts w:ascii="Times New Roman" w:hAnsi="Times New Roman" w:cs="Times New Roman"/>
          <w:sz w:val="20"/>
          <w:szCs w:val="20"/>
        </w:rPr>
      </w:pPr>
      <w:r>
        <w:rPr>
          <w:rFonts w:ascii="Times New Roman" w:hAnsi="Times New Roman" w:cs="Times New Roman"/>
          <w:color w:val="000000"/>
        </w:rPr>
        <w:t xml:space="preserve">[3] </w:t>
      </w:r>
      <w:proofErr w:type="spellStart"/>
      <w:r>
        <w:rPr>
          <w:rFonts w:ascii="Times New Roman" w:hAnsi="Times New Roman" w:cs="Times New Roman"/>
          <w:color w:val="000000"/>
        </w:rPr>
        <w:t>Bozdaganyan</w:t>
      </w:r>
      <w:proofErr w:type="spellEnd"/>
      <w:r>
        <w:rPr>
          <w:rFonts w:ascii="Times New Roman" w:hAnsi="Times New Roman" w:cs="Times New Roman"/>
          <w:color w:val="000000"/>
        </w:rPr>
        <w:t>, M. E., Orekhov, P. S., Shaytan, A. K., &amp; Shaitan, K. V. (2014).</w:t>
      </w:r>
      <w:r>
        <w:rPr>
          <w:rFonts w:ascii="Times New Roman" w:hAnsi="Times New Roman" w:cs="Times New Roman"/>
          <w:i/>
          <w:color w:val="000000"/>
        </w:rPr>
        <w:t xml:space="preserve"> </w:t>
      </w:r>
      <w:r>
        <w:rPr>
          <w:rFonts w:ascii="Times New Roman" w:hAnsi="Times New Roman" w:cs="Times New Roman"/>
          <w:color w:val="000000"/>
        </w:rPr>
        <w:t>Comparative computational study of interaction of C60-fullerene and tris-malonyl-C60-fullerene isomers with lipid bilayer: relation to their antioxidant effect//</w:t>
      </w:r>
      <w:proofErr w:type="spellStart"/>
      <w:r>
        <w:rPr>
          <w:rFonts w:ascii="Times New Roman" w:hAnsi="Times New Roman" w:cs="Times New Roman"/>
          <w:color w:val="000000"/>
        </w:rPr>
        <w:t>PLoS</w:t>
      </w:r>
      <w:proofErr w:type="spellEnd"/>
      <w:r>
        <w:rPr>
          <w:rFonts w:ascii="Times New Roman" w:hAnsi="Times New Roman" w:cs="Times New Roman"/>
          <w:color w:val="000000"/>
        </w:rPr>
        <w:t xml:space="preserve"> One, 9(7), e102487.</w:t>
      </w:r>
    </w:p>
    <w:p w14:paraId="2714A544" w14:textId="77777777" w:rsidR="001F61DD" w:rsidRDefault="001F61DD">
      <w:pPr>
        <w:shd w:val="clear" w:color="auto" w:fill="FFFFFF"/>
        <w:ind w:firstLine="403"/>
        <w:jc w:val="both"/>
        <w:rPr>
          <w:color w:val="000000"/>
        </w:rPr>
      </w:pPr>
    </w:p>
    <w:sectPr w:rsidR="001F61DD">
      <w:pgSz w:w="11909" w:h="16834"/>
      <w:pgMar w:top="1138" w:right="1354" w:bottom="1138" w:left="135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B0604020202020204"/>
    <w:charset w:val="01"/>
    <w:family w:val="roman"/>
    <w:pitch w:val="variable"/>
  </w:font>
  <w:font w:name="Noto Serif CJK SC">
    <w:panose1 w:val="020B0604020202020204"/>
    <w:charset w:val="00"/>
    <w:family w:val="roman"/>
    <w:notTrueType/>
    <w:pitch w:val="default"/>
  </w:font>
  <w:font w:name="Noto Sans Devanagari">
    <w:panose1 w:val="020B0502040504020204"/>
    <w:charset w:val="00"/>
    <w:family w:val="swiss"/>
    <w:pitch w:val="variable"/>
    <w:sig w:usb0="80008023" w:usb1="00002046" w:usb2="00000000" w:usb3="00000000" w:csb0="00000001" w:csb1="00000000"/>
  </w:font>
  <w:font w:name="Times New Roman">
    <w:panose1 w:val="02020603050405020304"/>
    <w:charset w:val="00"/>
    <w:family w:val="roman"/>
    <w:pitch w:val="variable"/>
    <w:sig w:usb0="E0007EFF" w:usb1="C000785B"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DejaVu Sans">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1DD"/>
    <w:rsid w:val="001F61DD"/>
    <w:rsid w:val="00526ACE"/>
    <w:rsid w:val="009D7D58"/>
  </w:rsids>
  <m:mathPr>
    <m:mathFont m:val="Cambria Math"/>
    <m:brkBin m:val="before"/>
    <m:brkBinSub m:val="--"/>
    <m:smallFrac m:val="0"/>
    <m:dispDef/>
    <m:lMargin m:val="0"/>
    <m:rMargin m:val="0"/>
    <m:defJc m:val="centerGroup"/>
    <m:wrapIndent m:val="1440"/>
    <m:intLim m:val="subSup"/>
    <m:naryLim m:val="undOvr"/>
  </m:mathPr>
  <w:themeFontLang w:val="en-R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1F07603"/>
  <w15:docId w15:val="{057C278C-FB13-2E4A-A03B-B4E38731C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Noto Sans Devanagari"/>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421</Words>
  <Characters>2406</Characters>
  <Application>Microsoft Office Word</Application>
  <DocSecurity>0</DocSecurity>
  <Lines>20</Lines>
  <Paragraphs>5</Paragraphs>
  <ScaleCrop>false</ScaleCrop>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Marine Bozdaganyan</cp:lastModifiedBy>
  <cp:revision>2</cp:revision>
  <dcterms:created xsi:type="dcterms:W3CDTF">2025-03-17T10:12:00Z</dcterms:created>
  <dcterms:modified xsi:type="dcterms:W3CDTF">2025-03-17T10:12:00Z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2025-03-13T12:31:02Z</dcterms:created>
  <dc:creator/>
  <dc:description/>
  <dc:language>en-US</dc:language>
  <cp:lastModifiedBy/>
  <dcterms:modified xsi:type="dcterms:W3CDTF">2025-03-13T13:39:53Z</dcterms:modified>
  <cp:revision>2</cp:revision>
  <dc:subject/>
  <dc:title/>
</cp:coreProperties>
</file>