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F0643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Оценка устойчивого развития сельской местности Китая</w:t>
      </w:r>
      <w:r>
        <w:rPr>
          <w:b/>
          <w:color w:val="000000"/>
        </w:rPr>
        <w:br w:type="textWrapping"/>
      </w:r>
      <w:r>
        <w:rPr>
          <w:b/>
          <w:color w:val="000000"/>
        </w:rPr>
        <w:t xml:space="preserve"> (на примере уезда Сюньу) </w:t>
      </w:r>
    </w:p>
    <w:p w14:paraId="04B063F2">
      <w:pPr>
        <w:shd w:val="clear" w:color="auto" w:fill="FFFFFF"/>
        <w:jc w:val="center"/>
        <w:rPr>
          <w:i/>
          <w:color w:val="000000"/>
          <w:vertAlign w:val="superscript"/>
        </w:rPr>
      </w:pPr>
      <w:r>
        <w:rPr>
          <w:b/>
          <w:i/>
          <w:color w:val="000000"/>
        </w:rPr>
        <w:t>Лю Шицзянь</w:t>
      </w:r>
      <w:r>
        <w:rPr>
          <w:i/>
          <w:color w:val="000000"/>
          <w:vertAlign w:val="superscript"/>
        </w:rPr>
        <w:t>1</w:t>
      </w:r>
    </w:p>
    <w:p w14:paraId="72765BAD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Аспирант, </w:t>
      </w:r>
      <w:r>
        <w:rPr>
          <w:rFonts w:hint="eastAsia" w:eastAsia="宋体"/>
          <w:i/>
          <w:color w:val="000000"/>
          <w:lang w:eastAsia="zh-CN"/>
        </w:rPr>
        <w:t>1</w:t>
      </w:r>
      <w:r>
        <w:rPr>
          <w:i/>
          <w:color w:val="000000"/>
        </w:rPr>
        <w:t xml:space="preserve"> года обучения</w:t>
      </w:r>
    </w:p>
    <w:p w14:paraId="2D0AAC8E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МГУ-ППИ географический факультет, Шэньчжэнь, Китай </w:t>
      </w:r>
    </w:p>
    <w:p w14:paraId="1ADA4293">
      <w:pPr>
        <w:numPr>
          <w:ilvl w:val="0"/>
          <w:numId w:val="1"/>
        </w:numPr>
        <w:shd w:val="clear" w:color="auto" w:fill="FFFFFF"/>
        <w:ind w:firstLine="397"/>
        <w:jc w:val="center"/>
        <w:rPr>
          <w:rFonts w:eastAsia="宋体"/>
          <w:i/>
          <w:color w:val="000000"/>
          <w:u w:val="single"/>
          <w:lang w:val="en-US" w:eastAsia="zh-CN"/>
        </w:rPr>
      </w:pPr>
      <w:r>
        <w:rPr>
          <w:i/>
          <w:color w:val="000000"/>
        </w:rPr>
        <w:t xml:space="preserve">mail: </w:t>
      </w:r>
      <w:r>
        <w:fldChar w:fldCharType="begin"/>
      </w:r>
      <w:r>
        <w:instrText xml:space="preserve"> HYPERLINK "mailto:ivanov@yandex.ru" \h </w:instrText>
      </w:r>
      <w:r>
        <w:fldChar w:fldCharType="separate"/>
      </w:r>
      <w:r>
        <w:rPr>
          <w:rFonts w:hint="eastAsia" w:eastAsia="宋体"/>
          <w:i/>
          <w:color w:val="000000"/>
          <w:u w:val="single"/>
          <w:lang w:val="en-US" w:eastAsia="zh-CN"/>
        </w:rPr>
        <w:t>youzhoumake</w:t>
      </w:r>
      <w:r>
        <w:rPr>
          <w:i/>
          <w:color w:val="000000"/>
          <w:u w:val="single"/>
        </w:rPr>
        <w:t>@</w:t>
      </w:r>
      <w:r>
        <w:rPr>
          <w:rFonts w:hint="eastAsia" w:eastAsia="宋体"/>
          <w:i/>
          <w:color w:val="000000"/>
          <w:u w:val="single"/>
          <w:lang w:val="en-US" w:eastAsia="zh-CN"/>
        </w:rPr>
        <w:t>1</w:t>
      </w:r>
      <w:r>
        <w:rPr>
          <w:rFonts w:hint="eastAsia" w:eastAsia="宋体"/>
          <w:i/>
          <w:color w:val="000000"/>
          <w:u w:val="single"/>
          <w:lang w:val="en-US" w:eastAsia="zh-CN"/>
        </w:rPr>
        <w:fldChar w:fldCharType="end"/>
      </w:r>
      <w:r>
        <w:rPr>
          <w:rFonts w:hint="eastAsia" w:eastAsia="宋体"/>
          <w:i/>
          <w:color w:val="000000"/>
          <w:u w:val="single"/>
          <w:lang w:val="en-US" w:eastAsia="zh-CN"/>
        </w:rPr>
        <w:t>63.com</w:t>
      </w:r>
    </w:p>
    <w:p w14:paraId="31224031">
      <w:pPr>
        <w:shd w:val="clear" w:color="auto" w:fill="FFFFFF"/>
        <w:jc w:val="center"/>
        <w:rPr>
          <w:i/>
          <w:color w:val="000000"/>
        </w:rPr>
      </w:pPr>
      <w:r>
        <w:rPr>
          <w:b/>
          <w:i/>
          <w:color w:val="000000"/>
        </w:rPr>
        <w:t>Руководитель</w:t>
      </w:r>
      <w:r>
        <w:rPr>
          <w:rFonts w:hint="eastAsia" w:eastAsia="宋体"/>
          <w:b/>
          <w:i/>
          <w:color w:val="000000"/>
          <w:lang w:eastAsia="zh-CN"/>
        </w:rPr>
        <w:t>：</w:t>
      </w:r>
      <w:r>
        <w:rPr>
          <w:b/>
          <w:i/>
          <w:color w:val="000000"/>
        </w:rPr>
        <w:t xml:space="preserve"> С.М.</w:t>
      </w:r>
      <w:r>
        <w:rPr>
          <w:rFonts w:hint="eastAsia" w:eastAsia="宋体"/>
          <w:b/>
          <w:i/>
          <w:color w:val="000000"/>
          <w:lang w:val="en-US" w:eastAsia="zh-CN"/>
        </w:rPr>
        <w:t xml:space="preserve"> </w:t>
      </w:r>
      <w:r>
        <w:rPr>
          <w:b/>
          <w:i/>
          <w:color w:val="000000"/>
        </w:rPr>
        <w:t>Малхазова</w:t>
      </w:r>
      <w:r>
        <w:rPr>
          <w:i/>
          <w:color w:val="000000"/>
          <w:vertAlign w:val="superscript"/>
        </w:rPr>
        <w:t>2</w:t>
      </w:r>
    </w:p>
    <w:p w14:paraId="129A8999">
      <w:pPr>
        <w:shd w:val="clear" w:color="auto" w:fill="FFFFFF"/>
        <w:jc w:val="center"/>
        <w:rPr>
          <w:rFonts w:eastAsia="宋体"/>
          <w:i/>
          <w:color w:val="000000"/>
          <w:u w:val="single"/>
          <w:lang w:eastAsia="zh-CN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 w:type="textWrapping"/>
      </w:r>
      <w:r>
        <w:rPr>
          <w:i/>
          <w:color w:val="000000"/>
        </w:rPr>
        <w:t>географический факультет, Москва, Россия</w:t>
      </w:r>
    </w:p>
    <w:p w14:paraId="21D5522A">
      <w:pPr>
        <w:ind w:firstLine="720"/>
        <w:jc w:val="both"/>
        <w:rPr>
          <w:color w:val="000000"/>
          <w:lang w:eastAsia="zh-CN"/>
        </w:rPr>
      </w:pPr>
    </w:p>
    <w:p w14:paraId="25FFA484">
      <w:pPr>
        <w:shd w:val="clear" w:color="auto" w:fill="FFFFFF"/>
        <w:ind w:firstLine="720"/>
        <w:jc w:val="both"/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 xml:space="preserve">Сельская местность Китая имеет важное значение для развития страны. </w:t>
      </w:r>
      <w:r>
        <w:rPr>
          <w:rFonts w:eastAsiaTheme="minorEastAsia"/>
          <w:color w:val="000000"/>
          <w:lang w:eastAsia="zh-CN"/>
        </w:rPr>
        <w:t>Несмотря на</w:t>
      </w:r>
      <w:r>
        <w:rPr>
          <w:rFonts w:hint="eastAsia" w:eastAsiaTheme="minorEastAsia"/>
          <w:color w:val="000000"/>
          <w:lang w:eastAsia="zh-CN"/>
        </w:rPr>
        <w:t xml:space="preserve"> </w:t>
      </w:r>
      <w:r>
        <w:rPr>
          <w:rFonts w:eastAsiaTheme="minorEastAsia"/>
          <w:color w:val="000000"/>
          <w:lang w:eastAsia="zh-CN"/>
        </w:rPr>
        <w:t xml:space="preserve">значительные успехи в последние годы, </w:t>
      </w:r>
      <w:r>
        <w:rPr>
          <w:color w:val="000000"/>
          <w:lang w:eastAsia="zh-CN"/>
        </w:rPr>
        <w:t>возрождение</w:t>
      </w:r>
      <w:r>
        <w:rPr>
          <w:rFonts w:hint="eastAsia"/>
          <w:color w:val="000000"/>
          <w:lang w:eastAsia="zh-CN"/>
        </w:rPr>
        <w:t xml:space="preserve"> сельской местности актуально для многих регионов Китая. </w:t>
      </w:r>
      <w:r>
        <w:rPr>
          <w:color w:val="000000"/>
          <w:lang w:eastAsia="zh-CN"/>
        </w:rPr>
        <w:t xml:space="preserve">Модельным </w:t>
      </w:r>
      <w:r>
        <w:rPr>
          <w:rFonts w:hint="eastAsia"/>
          <w:color w:val="000000"/>
          <w:lang w:eastAsia="zh-CN"/>
        </w:rPr>
        <w:t xml:space="preserve">регионом настоящего исследования </w:t>
      </w:r>
      <w:r>
        <w:rPr>
          <w:color w:val="000000"/>
          <w:lang w:eastAsia="zh-CN"/>
        </w:rPr>
        <w:t xml:space="preserve">является </w:t>
      </w:r>
      <w:r>
        <w:rPr>
          <w:rFonts w:hint="eastAsia"/>
          <w:color w:val="000000"/>
          <w:lang w:eastAsia="zh-CN"/>
        </w:rPr>
        <w:t>уезд Сюньу</w:t>
      </w:r>
      <w:r>
        <w:rPr>
          <w:color w:val="000000"/>
          <w:lang w:eastAsia="zh-CN"/>
        </w:rPr>
        <w:t xml:space="preserve"> -</w:t>
      </w:r>
      <w:r>
        <w:rPr>
          <w:rFonts w:hint="eastAsia"/>
          <w:color w:val="000000"/>
          <w:lang w:eastAsia="zh-CN"/>
        </w:rPr>
        <w:t xml:space="preserve"> типичный район </w:t>
      </w:r>
      <w:r>
        <w:rPr>
          <w:color w:val="000000"/>
          <w:lang w:eastAsia="zh-CN"/>
        </w:rPr>
        <w:t>сельской горной местности Китая.</w:t>
      </w:r>
      <w:r>
        <w:rPr>
          <w:rFonts w:hint="eastAsia"/>
          <w:b/>
          <w:bCs/>
          <w:color w:val="000000"/>
          <w:lang w:eastAsia="zh-CN"/>
        </w:rPr>
        <w:t xml:space="preserve"> </w:t>
      </w:r>
      <w:r>
        <w:rPr>
          <w:rFonts w:hint="eastAsia"/>
          <w:bCs/>
          <w:color w:val="000000"/>
          <w:lang w:eastAsia="zh-CN"/>
        </w:rPr>
        <w:t>Цель исследования</w:t>
      </w:r>
      <w:r>
        <w:rPr>
          <w:rFonts w:hint="eastAsia"/>
          <w:b/>
          <w:bCs/>
          <w:color w:val="000000"/>
          <w:lang w:eastAsia="zh-CN"/>
        </w:rPr>
        <w:t xml:space="preserve"> - </w:t>
      </w:r>
      <w:r>
        <w:rPr>
          <w:rFonts w:hint="eastAsia"/>
          <w:color w:val="000000"/>
          <w:lang w:eastAsia="zh-CN"/>
        </w:rPr>
        <w:t xml:space="preserve">оценить степень социально - экономического развития и </w:t>
      </w:r>
      <w:r>
        <w:rPr>
          <w:color w:val="000000"/>
          <w:lang w:eastAsia="zh-CN"/>
        </w:rPr>
        <w:t>качество жизни населения уезда Сюньу и предложить индикаторы возрождения сельской местности в рамках концепции устойчивого развития.</w:t>
      </w:r>
      <w:r>
        <w:rPr>
          <w:color w:val="000000"/>
        </w:rPr>
        <w:t xml:space="preserve"> Исследование проводится на основании литературных материалов, фондовых данных и полевых работ в уезде Сюньу с 2022 г. по настоящее время.</w:t>
      </w:r>
    </w:p>
    <w:p w14:paraId="6D8F6BBF">
      <w:pPr>
        <w:widowControl w:val="0"/>
        <w:ind w:firstLine="284"/>
        <w:jc w:val="both"/>
        <w:rPr>
          <w:rFonts w:eastAsia="FangSong_GB2312"/>
        </w:rPr>
      </w:pPr>
      <w:r>
        <w:rPr>
          <w:rFonts w:eastAsia="FangSong_GB2312"/>
        </w:rPr>
        <w:t xml:space="preserve">Уезд Сюньу: расположенный на стыке провинций Цзянси, Гуандун и Фуцзянь, имеет население 280 219 человек, площадь уезда 2351 км2. </w:t>
      </w:r>
      <w:r>
        <w:rPr>
          <w:color w:val="000000"/>
          <w:lang w:eastAsia="zh-CN"/>
        </w:rPr>
        <w:t xml:space="preserve">В работе рассмотрены особенности природных условий, состояния окружающей среды, здоровья населения, дана </w:t>
      </w:r>
      <w:r>
        <w:rPr>
          <w:rFonts w:eastAsia="FangSong_GB2312"/>
        </w:rPr>
        <w:t xml:space="preserve">оценка социально-экономического развития уезда и выявлены основные проблемы в рамках концепции возрождения сельской местности Китая. Показано, уезд Сюньу имеет относительно хорошие условия для возрождения сельской местности, особенно с точки зрения природных условий и места расположения, управления местными органами власти, состояния окружающей среды и внимания к экологическим проблемам, структуры рабочей силы и  численности населения. </w:t>
      </w:r>
    </w:p>
    <w:p w14:paraId="05EACF99">
      <w:pPr>
        <w:shd w:val="clear" w:color="auto" w:fill="FFFFFF"/>
        <w:ind w:firstLine="284"/>
        <w:jc w:val="both"/>
        <w:rPr>
          <w:rFonts w:eastAsia="宋体"/>
          <w:color w:val="000000"/>
          <w:lang w:eastAsia="zh-CN"/>
        </w:rPr>
      </w:pPr>
      <w:r>
        <w:rPr>
          <w:rFonts w:eastAsia="FangSong_GB2312"/>
        </w:rPr>
        <w:t>На основании анализа литературных данных и полевых исследований установлено, что для оценки степени устойчивого развития уезда и его дальнейшего возрождения необходимо использовать систему индикаторов, разработанных комиссиями ООН, в сочетании с индикаторами, используемыми в Китае, с учетом национальных особенностей страны.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В социальной области – это, прежде всего, уровень грамотности, , ожидаемая продолжительность жизни, доступ к медицинским услугам и др.; в экономической - темпы роста ВВП, доход на душу населения, уровень бедности и безработицы, темпы инфляции, прямые иностранные инвестиции и др.; в экологической области - энергоемкость, выбросы загрязняющих веществ в воздух, наличие парниковых газов и др</w:t>
      </w:r>
      <w:r>
        <w:rPr>
          <w:rFonts w:hint="eastAsia" w:eastAsia="宋体"/>
          <w:color w:val="000000"/>
          <w:lang w:val="en-US" w:eastAsia="zh-CN"/>
        </w:rPr>
        <w:t xml:space="preserve"> [1] [2]</w:t>
      </w:r>
      <w:r>
        <w:rPr>
          <w:color w:val="000000"/>
        </w:rPr>
        <w:t>.</w:t>
      </w:r>
      <w:r>
        <w:rPr>
          <w:rFonts w:eastAsia="宋体"/>
          <w:color w:val="000000"/>
          <w:lang w:eastAsia="zh-CN"/>
        </w:rPr>
        <w:t xml:space="preserve"> </w:t>
      </w:r>
    </w:p>
    <w:p w14:paraId="1C2AD569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Д</w:t>
      </w:r>
      <w:r>
        <w:rPr>
          <w:bCs/>
          <w:color w:val="000000"/>
        </w:rPr>
        <w:t>ля сельской местности важными характеристиками являются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>также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доля первичного сектора в ВВП, доля занятых в сельском хозяйстве, доля молодежи среди населения, проживающего в сельской местности, уровень доступности водопроводной воды в сельской местности, производство продуктов питания, интенсивность использования удобрений, интенсивность использования пестицидов и др. </w:t>
      </w:r>
    </w:p>
    <w:p w14:paraId="08A45331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Используя предложенные показатели возможно оценить уровень развития сельской местности и наметить пути для ее дальнейшего возрождения.</w:t>
      </w:r>
    </w:p>
    <w:p w14:paraId="5DB8CC70">
      <w:pPr>
        <w:shd w:val="clear" w:color="auto" w:fill="FFFFFF"/>
        <w:jc w:val="both"/>
        <w:rPr>
          <w:rFonts w:eastAsia="宋体"/>
          <w:color w:val="000000"/>
          <w:lang w:eastAsia="zh-CN"/>
        </w:rPr>
      </w:pPr>
    </w:p>
    <w:p w14:paraId="3486C755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Литература:</w:t>
      </w:r>
    </w:p>
    <w:p w14:paraId="3CDEE855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С.М.</w:t>
      </w:r>
      <w:r>
        <w:rPr>
          <w:rFonts w:hint="eastAsia" w:eastAsia="宋体"/>
          <w:color w:val="000000"/>
          <w:lang w:val="en-US" w:eastAsia="zh-CN"/>
        </w:rPr>
        <w:t xml:space="preserve"> </w:t>
      </w:r>
      <w:r>
        <w:rPr>
          <w:color w:val="000000"/>
        </w:rPr>
        <w:t>Малхазова  Отчет по проекту</w:t>
      </w:r>
      <w:r>
        <w:rPr>
          <w:rFonts w:hint="eastAsia" w:eastAsia="宋体"/>
          <w:color w:val="000000"/>
          <w:lang w:eastAsia="zh-CN"/>
        </w:rPr>
        <w:t>《</w:t>
      </w:r>
      <w:r>
        <w:rPr>
          <w:rFonts w:eastAsia="宋体"/>
          <w:color w:val="000000"/>
          <w:lang w:eastAsia="zh-CN"/>
        </w:rPr>
        <w:t>Разработка единой системы интегральных социально-экономических показателей с использованием опыта комиссий ООН для цикла учебных дисциплин по устойчивому развитию территорий</w:t>
      </w:r>
      <w:r>
        <w:rPr>
          <w:rFonts w:hint="eastAsia" w:eastAsia="宋体"/>
          <w:color w:val="000000"/>
          <w:lang w:eastAsia="zh-CN"/>
        </w:rPr>
        <w:t>》</w:t>
      </w:r>
      <w:r>
        <w:rPr>
          <w:color w:val="000000"/>
        </w:rPr>
        <w:t>// 2002. 92 р.</w:t>
      </w:r>
    </w:p>
    <w:p w14:paraId="3A79028A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>
        <w:rPr>
          <w:rFonts w:hint="eastAsia" w:eastAsia="宋体"/>
          <w:color w:val="000000"/>
          <w:lang w:val="en-US" w:eastAsia="zh-CN"/>
        </w:rPr>
        <w:t xml:space="preserve">Bin Cao. </w:t>
      </w:r>
      <w:r>
        <w:rPr>
          <w:color w:val="000000"/>
          <w:lang w:val="en-US"/>
        </w:rPr>
        <w:t>Review of International Research on Measuring Sustainable Development</w:t>
      </w:r>
      <w:r>
        <w:rPr>
          <w:rFonts w:hint="eastAsia" w:eastAsia="宋体"/>
          <w:color w:val="000000"/>
          <w:lang w:val="en-US" w:eastAsia="zh-CN"/>
        </w:rPr>
        <w:t xml:space="preserve"> // Environmental Science &amp; Technology. 2010. Vol. 33 No.3. </w:t>
      </w:r>
      <w:r>
        <w:rPr>
          <w:color w:val="000000"/>
          <w:lang w:val="en-US"/>
        </w:rPr>
        <w:t xml:space="preserve">P. </w:t>
      </w:r>
      <w:r>
        <w:rPr>
          <w:rFonts w:hint="eastAsia" w:eastAsia="宋体"/>
          <w:color w:val="000000"/>
          <w:lang w:val="en-US" w:eastAsia="zh-CN"/>
        </w:rPr>
        <w:t>99</w:t>
      </w:r>
      <w:r>
        <w:rPr>
          <w:color w:val="000000"/>
          <w:lang w:val="en-US"/>
        </w:rPr>
        <w:t>-</w:t>
      </w:r>
      <w:r>
        <w:rPr>
          <w:rFonts w:hint="eastAsia" w:eastAsia="宋体"/>
          <w:color w:val="000000"/>
          <w:lang w:val="en-US" w:eastAsia="zh-CN"/>
        </w:rPr>
        <w:t>105</w:t>
      </w:r>
      <w:r>
        <w:rPr>
          <w:color w:val="000000"/>
          <w:lang w:val="en-US"/>
        </w:rPr>
        <w:t>.</w:t>
      </w:r>
      <w:bookmarkStart w:id="0" w:name="_GoBack"/>
      <w:bookmarkEnd w:id="0"/>
    </w:p>
    <w:sectPr>
      <w:pgSz w:w="11906" w:h="16838"/>
      <w:pgMar w:top="1134" w:right="1361" w:bottom="1134" w:left="1361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BBA6A2"/>
    <w:multiLevelType w:val="singleLevel"/>
    <w:tmpl w:val="85BBA6A2"/>
    <w:lvl w:ilvl="0" w:tentative="0">
      <w:start w:val="5"/>
      <w:numFmt w:val="upperLetter"/>
      <w:suff w:val="nothing"/>
      <w:lvlText w:val="%1-"/>
      <w:lvlJc w:val="left"/>
    </w:lvl>
  </w:abstractNum>
  <w:abstractNum w:abstractNumId="1">
    <w:nsid w:val="4E6D13E7"/>
    <w:multiLevelType w:val="singleLevel"/>
    <w:tmpl w:val="4E6D13E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3772B"/>
    <w:rsid w:val="0018785D"/>
    <w:rsid w:val="001E61C2"/>
    <w:rsid w:val="001F0493"/>
    <w:rsid w:val="0022260A"/>
    <w:rsid w:val="002264EE"/>
    <w:rsid w:val="0023307C"/>
    <w:rsid w:val="00235C6A"/>
    <w:rsid w:val="002C2A13"/>
    <w:rsid w:val="0031361E"/>
    <w:rsid w:val="00333B43"/>
    <w:rsid w:val="0035602B"/>
    <w:rsid w:val="00391C38"/>
    <w:rsid w:val="003B76D6"/>
    <w:rsid w:val="003E2601"/>
    <w:rsid w:val="003F4E6B"/>
    <w:rsid w:val="004A26A3"/>
    <w:rsid w:val="004C4DF1"/>
    <w:rsid w:val="004F0EDF"/>
    <w:rsid w:val="00522BF1"/>
    <w:rsid w:val="00553A4F"/>
    <w:rsid w:val="00590166"/>
    <w:rsid w:val="005D022B"/>
    <w:rsid w:val="005E5BE9"/>
    <w:rsid w:val="006629BB"/>
    <w:rsid w:val="0069427D"/>
    <w:rsid w:val="006F7A19"/>
    <w:rsid w:val="007213E1"/>
    <w:rsid w:val="007428B9"/>
    <w:rsid w:val="00775389"/>
    <w:rsid w:val="00797838"/>
    <w:rsid w:val="007A328D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162A7"/>
    <w:rsid w:val="00BF36F8"/>
    <w:rsid w:val="00BF4622"/>
    <w:rsid w:val="00C004C1"/>
    <w:rsid w:val="00C22807"/>
    <w:rsid w:val="00C844E2"/>
    <w:rsid w:val="00CD00B1"/>
    <w:rsid w:val="00D22306"/>
    <w:rsid w:val="00D42542"/>
    <w:rsid w:val="00D8121C"/>
    <w:rsid w:val="00D909FA"/>
    <w:rsid w:val="00E22189"/>
    <w:rsid w:val="00E74069"/>
    <w:rsid w:val="00E81D35"/>
    <w:rsid w:val="00EB1F49"/>
    <w:rsid w:val="00F12338"/>
    <w:rsid w:val="00F865B3"/>
    <w:rsid w:val="00FB1509"/>
    <w:rsid w:val="00FF1903"/>
    <w:rsid w:val="05FF4299"/>
    <w:rsid w:val="180F647C"/>
    <w:rsid w:val="2BC906CB"/>
    <w:rsid w:val="3BA520C6"/>
    <w:rsid w:val="3BBE7A10"/>
    <w:rsid w:val="6B9E7C6F"/>
    <w:rsid w:val="7597511D"/>
    <w:rsid w:val="75A4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link w:val="27"/>
    <w:semiHidden/>
    <w:unhideWhenUsed/>
    <w:qFormat/>
    <w:uiPriority w:val="99"/>
    <w:rPr>
      <w:sz w:val="20"/>
      <w:szCs w:val="20"/>
    </w:rPr>
  </w:style>
  <w:style w:type="paragraph" w:styleId="9">
    <w:name w:val="Balloon Text"/>
    <w:basedOn w:val="1"/>
    <w:link w:val="29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0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Normal (Web)"/>
    <w:basedOn w:val="1"/>
    <w:semiHidden/>
    <w:unhideWhenUsed/>
    <w:qFormat/>
    <w:uiPriority w:val="99"/>
    <w:pPr>
      <w:spacing w:beforeAutospacing="1" w:afterAutospacing="1"/>
    </w:pPr>
    <w:rPr>
      <w:lang w:val="en-US" w:eastAsia="zh-CN"/>
    </w:rPr>
  </w:style>
  <w:style w:type="paragraph" w:styleId="12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3">
    <w:name w:val="annotation subject"/>
    <w:basedOn w:val="8"/>
    <w:next w:val="8"/>
    <w:link w:val="28"/>
    <w:semiHidden/>
    <w:unhideWhenUsed/>
    <w:qFormat/>
    <w:uiPriority w:val="99"/>
    <w:rPr>
      <w:b/>
      <w:bCs/>
    </w:rPr>
  </w:style>
  <w:style w:type="table" w:styleId="15">
    <w:name w:val="Table Grid"/>
    <w:basedOn w:val="14"/>
    <w:qFormat/>
    <w:uiPriority w:val="0"/>
    <w:rPr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</w:rPr>
  </w:style>
  <w:style w:type="character" w:styleId="18">
    <w:name w:val="Hyperlink"/>
    <w:basedOn w:val="1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6"/>
    <w:semiHidden/>
    <w:unhideWhenUsed/>
    <w:qFormat/>
    <w:uiPriority w:val="99"/>
    <w:rPr>
      <w:sz w:val="16"/>
      <w:szCs w:val="16"/>
    </w:rPr>
  </w:style>
  <w:style w:type="table" w:customStyle="1" w:styleId="2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List Paragraph"/>
    <w:basedOn w:val="1"/>
    <w:link w:val="22"/>
    <w:qFormat/>
    <w:uiPriority w:val="99"/>
    <w:pPr>
      <w:ind w:left="720"/>
      <w:contextualSpacing/>
    </w:pPr>
  </w:style>
  <w:style w:type="character" w:customStyle="1" w:styleId="22">
    <w:name w:val="Абзац списка Знак"/>
    <w:basedOn w:val="16"/>
    <w:link w:val="21"/>
    <w:qFormat/>
    <w:locked/>
    <w:uiPriority w:val="34"/>
  </w:style>
  <w:style w:type="character" w:styleId="23">
    <w:name w:val="Placeholder Text"/>
    <w:basedOn w:val="16"/>
    <w:semiHidden/>
    <w:qFormat/>
    <w:uiPriority w:val="99"/>
    <w:rPr>
      <w:color w:val="808080"/>
    </w:rPr>
  </w:style>
  <w:style w:type="paragraph" w:styleId="24">
    <w:name w:val="No Spacing"/>
    <w:qFormat/>
    <w:uiPriority w:val="1"/>
    <w:rPr>
      <w:rFonts w:ascii="Calibri" w:hAnsi="Calibri" w:eastAsia="Calibri" w:cs="Times New Roman"/>
      <w:sz w:val="22"/>
      <w:szCs w:val="22"/>
      <w:lang w:val="en-US" w:eastAsia="en-US" w:bidi="en-US"/>
    </w:rPr>
  </w:style>
  <w:style w:type="character" w:customStyle="1" w:styleId="25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6">
    <w:name w:val="Рецензия1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27">
    <w:name w:val="Текст примечания Знак"/>
    <w:basedOn w:val="16"/>
    <w:link w:val="8"/>
    <w:semiHidden/>
    <w:qFormat/>
    <w:uiPriority w:val="99"/>
    <w:rPr>
      <w:rFonts w:eastAsia="Times New Roman"/>
    </w:rPr>
  </w:style>
  <w:style w:type="character" w:customStyle="1" w:styleId="28">
    <w:name w:val="Тема примечания Знак"/>
    <w:basedOn w:val="27"/>
    <w:link w:val="13"/>
    <w:semiHidden/>
    <w:uiPriority w:val="99"/>
    <w:rPr>
      <w:rFonts w:eastAsia="Times New Roman"/>
      <w:b/>
      <w:bCs/>
    </w:rPr>
  </w:style>
  <w:style w:type="character" w:customStyle="1" w:styleId="29">
    <w:name w:val="Текст выноски Знак"/>
    <w:basedOn w:val="16"/>
    <w:link w:val="9"/>
    <w:semiHidden/>
    <w:uiPriority w:val="99"/>
    <w:rPr>
      <w:rFonts w:ascii="Segoe UI" w:hAnsi="Segoe UI" w:eastAsia="Times New Roman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298FAF-936F-42A6-8D69-638B02315C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Lomonosov MSU</Company>
  <Pages>1</Pages>
  <Words>413</Words>
  <Characters>2861</Characters>
  <Lines>23</Lines>
  <Paragraphs>6</Paragraphs>
  <TotalTime>2</TotalTime>
  <ScaleCrop>false</ScaleCrop>
  <LinksUpToDate>false</LinksUpToDate>
  <CharactersWithSpaces>3260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2025-03-04T06:13:00Z</dcterms:created>
  <dc:creator>litol</dc:creator>
  <cp:lastModifiedBy>幽州马客</cp:lastModifiedBy>
  <cp:lastPrinted>2025-03-13T04:26:00Z</cp:lastPrinted>
  <dcterms:modified xsi:type="dcterms:W3CDTF">2025-03-14T06:55:09Z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TemplateDocerSaveRecord">
    <vt:lpwstr>eyJoZGlkIjoiMjJhYmE2MDg5YTM4NzIzOTM3Zjk2MjkwZWMwMmFkZWIiLCJ1c2VySWQiOiI0MDY4OTI5MzgifQ==</vt:lpwstr>
  </property>
  <property fmtid="{D5CDD505-2E9C-101B-9397-08002B2CF9AE}" pid="26" name="KSOProductBuildVer">
    <vt:lpwstr>2052-12.1.0.20305</vt:lpwstr>
  </property>
  <property fmtid="{D5CDD505-2E9C-101B-9397-08002B2CF9AE}" pid="27" name="ICV">
    <vt:lpwstr>1D219648620549B5B49326AE836448AA_13</vt:lpwstr>
  </property>
</Properties>
</file>