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04" w:rsidRDefault="0019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94F04">
        <w:rPr>
          <w:b/>
          <w:color w:val="000000"/>
        </w:rPr>
        <w:t xml:space="preserve">Два типа численных алгоритмов для решения задачи противодействия </w:t>
      </w:r>
    </w:p>
    <w:p w:rsidR="00130241" w:rsidRDefault="0019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4F04">
        <w:rPr>
          <w:b/>
          <w:color w:val="000000"/>
        </w:rPr>
        <w:t>рассеянию акустических волн</w:t>
      </w:r>
    </w:p>
    <w:p w:rsidR="00130241" w:rsidRDefault="00A570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Чжан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Цзяпэй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194F04" w:rsidRDefault="00EB1F49" w:rsidP="0019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194F04" w:rsidRPr="00194F04">
        <w:rPr>
          <w:i/>
        </w:rPr>
        <w:t>2536880504@qq.com</w:t>
      </w:r>
      <w:r w:rsidR="00194F04" w:rsidRPr="00194F04">
        <w:t xml:space="preserve"> </w:t>
      </w:r>
    </w:p>
    <w:p w:rsidR="00194F04" w:rsidRPr="00194F04" w:rsidRDefault="00194F04" w:rsidP="0019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4F04">
        <w:rPr>
          <w:color w:val="000000"/>
        </w:rPr>
        <w:t>В работе исследуются два численных алгоритма для минимизации рассеяния акустических волн в неоднородных средах. Первый метод сочетает адаптивный алгоритм граничных элементов (</w:t>
      </w:r>
      <w:proofErr w:type="spellStart"/>
      <w:r w:rsidRPr="00194F04">
        <w:rPr>
          <w:color w:val="000000"/>
        </w:rPr>
        <w:t>BEM</w:t>
      </w:r>
      <w:proofErr w:type="spellEnd"/>
      <w:r w:rsidRPr="00194F04">
        <w:rPr>
          <w:color w:val="000000"/>
        </w:rPr>
        <w:t>) с оптимизацией сетки, второй — гибридный подход, объединяющий метод конечных элементов (</w:t>
      </w:r>
      <w:proofErr w:type="spellStart"/>
      <w:r w:rsidRPr="00194F04">
        <w:rPr>
          <w:color w:val="000000"/>
        </w:rPr>
        <w:t>FEM</w:t>
      </w:r>
      <w:proofErr w:type="spellEnd"/>
      <w:r w:rsidRPr="00194F04">
        <w:rPr>
          <w:color w:val="000000"/>
        </w:rPr>
        <w:t xml:space="preserve">) и спектральный анализ. Оба алгоритма реализованы в </w:t>
      </w:r>
      <w:proofErr w:type="spellStart"/>
      <w:r w:rsidRPr="00194F04">
        <w:rPr>
          <w:color w:val="000000"/>
        </w:rPr>
        <w:t>MATLAB</w:t>
      </w:r>
      <w:proofErr w:type="spellEnd"/>
      <w:r w:rsidRPr="00194F04">
        <w:rPr>
          <w:color w:val="000000"/>
        </w:rPr>
        <w:t xml:space="preserve"> с использованием параллельных вычислений для снижения временных затрат.  </w:t>
      </w:r>
    </w:p>
    <w:p w:rsidR="00194F04" w:rsidRDefault="00194F04" w:rsidP="0019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94F04">
        <w:rPr>
          <w:color w:val="000000"/>
        </w:rPr>
        <w:t xml:space="preserve">Численные эксперименты проведены для трёх модельных сред с параметрами: скорость звука 1500 м/с, плотность 1000 кг/м³, коэффициент затухания 0.05–0.2 дБ/м. Точность методов оценена через относительную погрешность в норме L2: </w:t>
      </w:r>
    </w:p>
    <w:p w:rsidR="00B641EE" w:rsidRPr="00194F04" w:rsidRDefault="00B641EE" w:rsidP="00B641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641EE">
        <w:rPr>
          <w:noProof/>
          <w:color w:val="000000"/>
        </w:rPr>
        <w:drawing>
          <wp:inline distT="0" distB="0" distL="114300" distR="114300">
            <wp:extent cx="3060700" cy="615950"/>
            <wp:effectExtent l="0" t="0" r="0" b="635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63" w:rsidRPr="00700F32" w:rsidRDefault="00194F04" w:rsidP="00194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GB"/>
        </w:rPr>
      </w:pPr>
      <w:r w:rsidRPr="00194F04">
        <w:rPr>
          <w:color w:val="000000"/>
        </w:rPr>
        <w:t xml:space="preserve">Результаты показали, что </w:t>
      </w:r>
      <w:proofErr w:type="spellStart"/>
      <w:r w:rsidRPr="00194F04">
        <w:rPr>
          <w:color w:val="000000"/>
        </w:rPr>
        <w:t>BEM</w:t>
      </w:r>
      <w:proofErr w:type="spellEnd"/>
      <w:r w:rsidRPr="00194F04">
        <w:rPr>
          <w:color w:val="000000"/>
        </w:rPr>
        <w:t xml:space="preserve"> обеспечивает погрешность 1.2–1.8 % для сложных геометрий, но требует 2–3 часа вычислений. Гибридный FEM-метод сокращает время до 1 часа при погрешности 2.5 % за счёт локального сгущения сетки.</w:t>
      </w:r>
    </w:p>
    <w:p w:rsidR="00130241" w:rsidRPr="00700F3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:rsidR="00116478" w:rsidRPr="00B641E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700F32">
        <w:rPr>
          <w:color w:val="000000"/>
          <w:lang w:val="en-GB"/>
        </w:rPr>
        <w:t xml:space="preserve">1. </w:t>
      </w:r>
      <w:proofErr w:type="spellStart"/>
      <w:r w:rsidR="00B42EC4" w:rsidRPr="00B42EC4">
        <w:rPr>
          <w:color w:val="000000"/>
          <w:lang w:val="en-US"/>
        </w:rPr>
        <w:t>Brebbia</w:t>
      </w:r>
      <w:proofErr w:type="spellEnd"/>
      <w:r w:rsidR="00B42EC4" w:rsidRPr="00700F32">
        <w:rPr>
          <w:color w:val="000000"/>
          <w:lang w:val="en-GB"/>
        </w:rPr>
        <w:t xml:space="preserve"> </w:t>
      </w:r>
      <w:r w:rsidR="00B42EC4" w:rsidRPr="00B42EC4">
        <w:rPr>
          <w:color w:val="000000"/>
          <w:lang w:val="en-US"/>
        </w:rPr>
        <w:t>C</w:t>
      </w:r>
      <w:r w:rsidR="00B42EC4" w:rsidRPr="00700F32">
        <w:rPr>
          <w:color w:val="000000"/>
          <w:lang w:val="en-GB"/>
        </w:rPr>
        <w:t>.</w:t>
      </w:r>
      <w:r w:rsidR="00B42EC4" w:rsidRPr="00B42EC4">
        <w:rPr>
          <w:color w:val="000000"/>
          <w:lang w:val="en-US"/>
        </w:rPr>
        <w:t>A</w:t>
      </w:r>
      <w:r w:rsidR="00B42EC4" w:rsidRPr="00700F32">
        <w:rPr>
          <w:color w:val="000000"/>
          <w:lang w:val="en-GB"/>
        </w:rPr>
        <w:t xml:space="preserve">., </w:t>
      </w:r>
      <w:r w:rsidR="00B42EC4" w:rsidRPr="00B42EC4">
        <w:rPr>
          <w:color w:val="000000"/>
          <w:lang w:val="en-US"/>
        </w:rPr>
        <w:t>Dominguez</w:t>
      </w:r>
      <w:r w:rsidR="00B42EC4" w:rsidRPr="00700F32">
        <w:rPr>
          <w:color w:val="000000"/>
          <w:lang w:val="en-GB"/>
        </w:rPr>
        <w:t xml:space="preserve"> </w:t>
      </w:r>
      <w:r w:rsidR="00B42EC4" w:rsidRPr="00B42EC4">
        <w:rPr>
          <w:color w:val="000000"/>
          <w:lang w:val="en-US"/>
        </w:rPr>
        <w:t>J</w:t>
      </w:r>
      <w:r w:rsidR="00B42EC4" w:rsidRPr="00700F32">
        <w:rPr>
          <w:color w:val="000000"/>
          <w:lang w:val="en-GB"/>
        </w:rPr>
        <w:t xml:space="preserve">. </w:t>
      </w:r>
      <w:r w:rsidR="00B42EC4" w:rsidRPr="00B42EC4">
        <w:rPr>
          <w:color w:val="000000"/>
          <w:lang w:val="en-US"/>
        </w:rPr>
        <w:t>Boundary</w:t>
      </w:r>
      <w:r w:rsidR="00B42EC4" w:rsidRPr="00700F32">
        <w:rPr>
          <w:color w:val="000000"/>
          <w:lang w:val="en-GB"/>
        </w:rPr>
        <w:t xml:space="preserve"> </w:t>
      </w:r>
      <w:r w:rsidR="00B42EC4" w:rsidRPr="00B42EC4">
        <w:rPr>
          <w:color w:val="000000"/>
          <w:lang w:val="en-US"/>
        </w:rPr>
        <w:t>Elements</w:t>
      </w:r>
      <w:r w:rsidR="00B42EC4" w:rsidRPr="00700F32">
        <w:rPr>
          <w:color w:val="000000"/>
          <w:lang w:val="en-GB"/>
        </w:rPr>
        <w:t xml:space="preserve">: </w:t>
      </w:r>
      <w:r w:rsidR="00B42EC4" w:rsidRPr="00B42EC4">
        <w:rPr>
          <w:color w:val="000000"/>
          <w:lang w:val="en-US"/>
        </w:rPr>
        <w:t>An</w:t>
      </w:r>
      <w:r w:rsidR="00B42EC4" w:rsidRPr="00700F32">
        <w:rPr>
          <w:color w:val="000000"/>
          <w:lang w:val="en-GB"/>
        </w:rPr>
        <w:t xml:space="preserve"> </w:t>
      </w:r>
      <w:r w:rsidR="00B42EC4" w:rsidRPr="00B42EC4">
        <w:rPr>
          <w:color w:val="000000"/>
          <w:lang w:val="en-US"/>
        </w:rPr>
        <w:t>Introductory</w:t>
      </w:r>
      <w:r w:rsidR="00B42EC4" w:rsidRPr="00700F32">
        <w:rPr>
          <w:color w:val="000000"/>
          <w:lang w:val="en-GB"/>
        </w:rPr>
        <w:t xml:space="preserve"> </w:t>
      </w:r>
      <w:r w:rsidR="00B42EC4" w:rsidRPr="00B42EC4">
        <w:rPr>
          <w:color w:val="000000"/>
          <w:lang w:val="en-US"/>
        </w:rPr>
        <w:t>Course</w:t>
      </w:r>
      <w:r w:rsidR="00B42EC4" w:rsidRPr="00700F32">
        <w:rPr>
          <w:color w:val="000000"/>
          <w:lang w:val="en-GB"/>
        </w:rPr>
        <w:t xml:space="preserve">. </w:t>
      </w:r>
      <w:r w:rsidR="00B42EC4" w:rsidRPr="00B641EE">
        <w:rPr>
          <w:color w:val="000000"/>
          <w:lang w:val="en-GB"/>
        </w:rPr>
        <w:t>2^</w:t>
      </w:r>
      <w:proofErr w:type="spellStart"/>
      <w:r w:rsidR="00B42EC4" w:rsidRPr="00B42EC4">
        <w:rPr>
          <w:color w:val="000000"/>
          <w:lang w:val="en-US"/>
        </w:rPr>
        <w:t>nd</w:t>
      </w:r>
      <w:proofErr w:type="spellEnd"/>
      <w:r w:rsidR="00B42EC4" w:rsidRPr="00B641EE">
        <w:rPr>
          <w:color w:val="000000"/>
          <w:lang w:val="en-GB"/>
        </w:rPr>
        <w:t xml:space="preserve">^ </w:t>
      </w:r>
      <w:r w:rsidR="00B42EC4" w:rsidRPr="00B42EC4">
        <w:rPr>
          <w:color w:val="000000"/>
          <w:lang w:val="en-US"/>
        </w:rPr>
        <w:t>Ed</w:t>
      </w:r>
      <w:r w:rsidR="00B42EC4" w:rsidRPr="00B641EE">
        <w:rPr>
          <w:color w:val="000000"/>
          <w:lang w:val="en-GB"/>
        </w:rPr>
        <w:t xml:space="preserve">. </w:t>
      </w:r>
      <w:r w:rsidR="00B42EC4" w:rsidRPr="00B42EC4">
        <w:rPr>
          <w:color w:val="000000"/>
          <w:lang w:val="en-US"/>
        </w:rPr>
        <w:t>Southampton</w:t>
      </w:r>
      <w:r w:rsidR="00B42EC4" w:rsidRPr="00B641EE">
        <w:rPr>
          <w:color w:val="000000"/>
          <w:lang w:val="en-GB"/>
        </w:rPr>
        <w:t xml:space="preserve">: </w:t>
      </w:r>
      <w:r w:rsidR="00B42EC4" w:rsidRPr="00B42EC4">
        <w:rPr>
          <w:color w:val="000000"/>
          <w:lang w:val="en-US"/>
        </w:rPr>
        <w:t>WIT</w:t>
      </w:r>
      <w:r w:rsidR="00B42EC4" w:rsidRPr="00B641EE">
        <w:rPr>
          <w:color w:val="000000"/>
          <w:lang w:val="en-GB"/>
        </w:rPr>
        <w:t xml:space="preserve"> </w:t>
      </w:r>
      <w:r w:rsidR="00B42EC4" w:rsidRPr="00B42EC4">
        <w:rPr>
          <w:color w:val="000000"/>
          <w:lang w:val="en-US"/>
        </w:rPr>
        <w:t>Press</w:t>
      </w:r>
      <w:r w:rsidR="00B42EC4" w:rsidRPr="00B641EE">
        <w:rPr>
          <w:color w:val="000000"/>
          <w:lang w:val="en-GB"/>
        </w:rPr>
        <w:t xml:space="preserve">, 2001.  </w:t>
      </w:r>
    </w:p>
    <w:p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B42EC4" w:rsidRPr="00B42EC4">
        <w:rPr>
          <w:noProof/>
          <w:lang w:val="en-US"/>
        </w:rPr>
        <w:t xml:space="preserve">Hughes T.J.R. The Finite Element Method: Linear Static and Dynamic Analysis. Mineola, NY: Dover Publications, 2000.  </w:t>
      </w:r>
    </w:p>
    <w:sectPr w:rsidR="00116478" w:rsidRPr="00107AA3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4F04"/>
    <w:rsid w:val="001E61C2"/>
    <w:rsid w:val="001F0493"/>
    <w:rsid w:val="00220028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00F32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348B"/>
    <w:rsid w:val="00A314FE"/>
    <w:rsid w:val="00A570BD"/>
    <w:rsid w:val="00A804CE"/>
    <w:rsid w:val="00AA337E"/>
    <w:rsid w:val="00AD7380"/>
    <w:rsid w:val="00B42EC4"/>
    <w:rsid w:val="00B641EE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8</cp:revision>
  <dcterms:created xsi:type="dcterms:W3CDTF">2025-03-04T06:13:00Z</dcterms:created>
  <dcterms:modified xsi:type="dcterms:W3CDTF">2025-05-19T10:40:00Z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